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ascii="黑体" w:hAnsi="黑体" w:eastAsia="黑体" w:cs="Times New Roman"/>
          <w:b/>
          <w:bCs/>
          <w:kern w:val="44"/>
          <w:sz w:val="32"/>
          <w:szCs w:val="32"/>
        </w:rPr>
      </w:pPr>
      <w:bookmarkStart w:id="0" w:name="_Toc455392601"/>
      <w:bookmarkStart w:id="1" w:name="_Toc455393257"/>
      <w:bookmarkStart w:id="2" w:name="_Toc455392338"/>
      <w:bookmarkStart w:id="3" w:name="_Toc113978736"/>
      <w:bookmarkStart w:id="4" w:name="_Toc112876228"/>
      <w:bookmarkStart w:id="5" w:name="_Toc456781554"/>
      <w:bookmarkStart w:id="6" w:name="_Toc112876245"/>
      <w:bookmarkStart w:id="7" w:name="_Toc113978753"/>
      <w:r>
        <w:rPr>
          <w:rFonts w:hint="eastAsia" w:ascii="黑体" w:hAnsi="黑体" w:eastAsia="黑体" w:cs="Times New Roman"/>
          <w:b/>
          <w:bCs/>
          <w:kern w:val="44"/>
          <w:sz w:val="32"/>
          <w:szCs w:val="32"/>
        </w:rPr>
        <w:t>建筑硕士专业学位研究生培养方案</w:t>
      </w:r>
      <w:bookmarkEnd w:id="0"/>
      <w:bookmarkEnd w:id="1"/>
      <w:bookmarkEnd w:id="2"/>
      <w:bookmarkEnd w:id="3"/>
      <w:bookmarkEnd w:id="4"/>
      <w:bookmarkEnd w:id="5"/>
    </w:p>
    <w:p>
      <w:pPr>
        <w:spacing w:after="312" w:afterLines="100" w:line="360" w:lineRule="auto"/>
        <w:jc w:val="center"/>
        <w:outlineLvl w:val="1"/>
        <w:rPr>
          <w:rFonts w:ascii="宋体" w:hAnsi="宋体" w:eastAsia="宋体" w:cs="Times New Roman"/>
          <w:kern w:val="0"/>
          <w:sz w:val="24"/>
          <w:szCs w:val="24"/>
        </w:rPr>
      </w:pPr>
      <w:bookmarkStart w:id="8" w:name="_Toc455393258"/>
      <w:bookmarkStart w:id="9" w:name="_Toc455392339"/>
      <w:bookmarkStart w:id="10" w:name="_Toc454902483"/>
      <w:bookmarkStart w:id="11" w:name="_Toc456781555"/>
      <w:bookmarkStart w:id="12" w:name="_Toc455392602"/>
      <w:r>
        <w:rPr>
          <w:rFonts w:hint="eastAsia" w:ascii="宋体" w:hAnsi="宋体" w:eastAsia="宋体" w:cs="Times New Roman"/>
          <w:kern w:val="0"/>
          <w:sz w:val="24"/>
          <w:szCs w:val="24"/>
        </w:rPr>
        <w:t>（</w:t>
      </w:r>
      <w:r>
        <w:rPr>
          <w:rFonts w:ascii="宋体" w:hAnsi="宋体" w:eastAsia="宋体" w:cs="Times New Roman"/>
          <w:kern w:val="0"/>
          <w:sz w:val="24"/>
          <w:szCs w:val="24"/>
        </w:rPr>
        <w:t>领域代码：</w:t>
      </w:r>
      <w:r>
        <w:rPr>
          <w:rFonts w:ascii="Times New Roman" w:hAnsi="Times New Roman" w:eastAsia="宋体" w:cs="Times New Roman"/>
          <w:kern w:val="0"/>
          <w:sz w:val="24"/>
          <w:szCs w:val="24"/>
        </w:rPr>
        <w:t>0851</w:t>
      </w:r>
      <w:r>
        <w:rPr>
          <w:rFonts w:ascii="宋体" w:hAnsi="宋体" w:eastAsia="宋体" w:cs="Times New Roman"/>
          <w:kern w:val="0"/>
          <w:sz w:val="24"/>
          <w:szCs w:val="24"/>
        </w:rPr>
        <w:t>，申请建筑学硕士</w:t>
      </w:r>
      <w:r>
        <w:rPr>
          <w:rFonts w:hint="eastAsia" w:ascii="宋体" w:hAnsi="宋体" w:eastAsia="宋体" w:cs="Times New Roman"/>
          <w:kern w:val="0"/>
          <w:sz w:val="24"/>
          <w:szCs w:val="24"/>
        </w:rPr>
        <w:t>专业</w:t>
      </w:r>
      <w:r>
        <w:rPr>
          <w:rFonts w:ascii="宋体" w:hAnsi="宋体" w:eastAsia="宋体" w:cs="Times New Roman"/>
          <w:kern w:val="0"/>
          <w:sz w:val="24"/>
          <w:szCs w:val="24"/>
        </w:rPr>
        <w:t>学位适用</w:t>
      </w:r>
      <w:r>
        <w:rPr>
          <w:rFonts w:hint="eastAsia" w:ascii="宋体" w:hAnsi="宋体" w:eastAsia="宋体" w:cs="Times New Roman"/>
          <w:kern w:val="0"/>
          <w:sz w:val="24"/>
          <w:szCs w:val="24"/>
        </w:rPr>
        <w:t>）</w:t>
      </w:r>
      <w:bookmarkEnd w:id="8"/>
      <w:bookmarkEnd w:id="9"/>
      <w:bookmarkEnd w:id="10"/>
      <w:bookmarkEnd w:id="11"/>
      <w:bookmarkEnd w:id="12"/>
    </w:p>
    <w:p>
      <w:pPr>
        <w:pStyle w:val="2"/>
        <w:spacing w:before="156" w:after="156"/>
        <w:rPr>
          <w:bCs w:val="0"/>
        </w:rPr>
      </w:pPr>
      <w:bookmarkStart w:id="13" w:name="_Toc455392342"/>
      <w:bookmarkStart w:id="14" w:name="_Toc454902484"/>
      <w:r>
        <w:rPr>
          <w:rFonts w:hint="eastAsia"/>
        </w:rPr>
        <w:t>一、培养目标</w:t>
      </w:r>
      <w:bookmarkEnd w:id="13"/>
      <w:bookmarkEnd w:id="14"/>
    </w:p>
    <w:p>
      <w:pPr>
        <w:spacing w:line="400" w:lineRule="exact"/>
        <w:ind w:firstLine="480" w:firstLineChars="200"/>
        <w:rPr>
          <w:rFonts w:ascii="Times New Roman" w:hAnsi="Times New Roman" w:eastAsia="宋体" w:cs="Times New Roman"/>
          <w:bCs/>
          <w:sz w:val="24"/>
          <w:szCs w:val="24"/>
        </w:rPr>
      </w:pPr>
      <w:bookmarkStart w:id="15" w:name="_Toc455392344"/>
      <w:bookmarkStart w:id="16" w:name="_Toc454902486"/>
      <w:r>
        <w:rPr>
          <w:rFonts w:hint="eastAsia" w:ascii="Times New Roman" w:hAnsi="Times New Roman" w:eastAsia="宋体" w:cs="Times New Roman"/>
          <w:bCs/>
          <w:sz w:val="24"/>
          <w:szCs w:val="24"/>
        </w:rPr>
        <w:t>以习近平新时代中国特色社会主义思想为指导，落实立德树人根本任务，</w:t>
      </w:r>
      <w:r>
        <w:rPr>
          <w:rFonts w:ascii="Times New Roman" w:hAnsi="Times New Roman" w:cs="Times New Roman"/>
          <w:bCs/>
          <w:sz w:val="24"/>
        </w:rPr>
        <w:t>面向我国城乡发展新阶段对新型建筑学专业人才的需求，以服务国家新型城镇化战略需求为导向，聚焦中部地区高密度城乡人居环境，培养适应社会主义建设需要，德、智、体、美、劳全面发展，</w:t>
      </w:r>
      <w:r>
        <w:rPr>
          <w:rFonts w:hint="eastAsia" w:ascii="Times New Roman" w:hAnsi="Times New Roman" w:eastAsia="宋体" w:cs="Times New Roman"/>
          <w:bCs/>
          <w:sz w:val="24"/>
          <w:szCs w:val="24"/>
        </w:rPr>
        <w:t>具有坚定的理想信念，掌握坚实的理论基础、系统的专业知识，了解学科前沿动态，</w:t>
      </w:r>
      <w:r>
        <w:rPr>
          <w:rFonts w:ascii="宋体" w:hAnsi="宋体" w:eastAsia="宋体" w:cs="宋体"/>
          <w:sz w:val="24"/>
          <w:szCs w:val="24"/>
        </w:rPr>
        <w:t>具</w:t>
      </w:r>
      <w:r>
        <w:rPr>
          <w:rFonts w:hint="eastAsia" w:ascii="宋体" w:hAnsi="宋体" w:eastAsia="宋体" w:cs="宋体"/>
          <w:sz w:val="24"/>
          <w:szCs w:val="24"/>
        </w:rPr>
        <w:t>备</w:t>
      </w:r>
      <w:r>
        <w:rPr>
          <w:rFonts w:ascii="宋体" w:hAnsi="宋体" w:eastAsia="宋体" w:cs="宋体"/>
          <w:sz w:val="24"/>
          <w:szCs w:val="24"/>
        </w:rPr>
        <w:t>扎实的建筑设计创作能力及</w:t>
      </w:r>
      <w:r>
        <w:rPr>
          <w:rFonts w:hint="eastAsia" w:ascii="宋体" w:hAnsi="宋体" w:eastAsia="宋体" w:cs="宋体"/>
          <w:sz w:val="24"/>
          <w:szCs w:val="24"/>
        </w:rPr>
        <w:t>独立开展建筑学科学研究的能力，</w:t>
      </w:r>
      <w:r>
        <w:rPr>
          <w:rFonts w:hint="eastAsia" w:ascii="Times New Roman" w:hAnsi="Times New Roman" w:eastAsia="宋体" w:cs="Times New Roman"/>
          <w:bCs/>
          <w:sz w:val="24"/>
          <w:szCs w:val="24"/>
        </w:rPr>
        <w:t>具有国际视野和专业技能的行业人才。具体要求为：</w:t>
      </w:r>
    </w:p>
    <w:p>
      <w:pPr>
        <w:spacing w:line="400" w:lineRule="exact"/>
        <w:ind w:firstLine="480" w:firstLineChars="200"/>
        <w:rPr>
          <w:rFonts w:ascii="Times New Roman" w:hAnsi="Times New Roman" w:cs="Times New Roman"/>
          <w:bCs/>
          <w:sz w:val="24"/>
        </w:rPr>
      </w:pPr>
      <w:r>
        <w:rPr>
          <w:rFonts w:hint="eastAsia" w:ascii="Times New Roman" w:hAnsi="Times New Roman" w:cs="Times New Roman"/>
          <w:bCs/>
          <w:sz w:val="24"/>
        </w:rPr>
        <w:t>（一）</w:t>
      </w:r>
      <w:r>
        <w:rPr>
          <w:rFonts w:hint="eastAsia" w:ascii="Times New Roman" w:hAnsi="Times New Roman" w:cs="Times New Roman"/>
          <w:kern w:val="0"/>
          <w:sz w:val="24"/>
        </w:rPr>
        <w:t>坚持党的基本路线，</w:t>
      </w:r>
      <w:r>
        <w:rPr>
          <w:rFonts w:ascii="Times New Roman" w:hAnsi="Times New Roman" w:cs="Times New Roman"/>
          <w:sz w:val="24"/>
        </w:rPr>
        <w:t>掌握马列主义基本理论</w:t>
      </w:r>
      <w:r>
        <w:rPr>
          <w:rFonts w:hint="eastAsia" w:ascii="Times New Roman" w:hAnsi="Times New Roman" w:cs="Times New Roman"/>
          <w:sz w:val="24"/>
        </w:rPr>
        <w:t>，具有正确的</w:t>
      </w:r>
      <w:r>
        <w:rPr>
          <w:rFonts w:ascii="Times New Roman" w:hAnsi="Times New Roman" w:cs="Times New Roman"/>
          <w:sz w:val="24"/>
        </w:rPr>
        <w:t>世界观</w:t>
      </w:r>
      <w:r>
        <w:rPr>
          <w:rFonts w:hint="eastAsia" w:ascii="Times New Roman" w:hAnsi="Times New Roman" w:cs="Times New Roman"/>
          <w:sz w:val="24"/>
        </w:rPr>
        <w:t>、人生观和价值观</w:t>
      </w:r>
      <w:r>
        <w:rPr>
          <w:rFonts w:ascii="Times New Roman" w:hAnsi="Times New Roman" w:cs="Times New Roman"/>
          <w:sz w:val="24"/>
        </w:rPr>
        <w:t>，热爱祖国</w:t>
      </w:r>
      <w:r>
        <w:rPr>
          <w:rFonts w:hint="eastAsia" w:ascii="Times New Roman" w:hAnsi="Times New Roman" w:cs="Times New Roman"/>
          <w:sz w:val="24"/>
        </w:rPr>
        <w:t>，热爱人民</w:t>
      </w:r>
      <w:r>
        <w:rPr>
          <w:rFonts w:ascii="Times New Roman" w:hAnsi="Times New Roman" w:cs="Times New Roman"/>
          <w:sz w:val="24"/>
        </w:rPr>
        <w:t>；遵纪守法，品行端正；诚实守信，学风严谨，团结协作，具有良好的科研道德和敬业精神</w:t>
      </w:r>
      <w:r>
        <w:rPr>
          <w:rFonts w:ascii="Times New Roman" w:hAnsi="Times New Roman" w:cs="Times New Roman"/>
          <w:bCs/>
          <w:sz w:val="24"/>
        </w:rPr>
        <w:t>。</w:t>
      </w:r>
    </w:p>
    <w:p>
      <w:pPr>
        <w:spacing w:line="400" w:lineRule="exact"/>
        <w:ind w:firstLine="480" w:firstLineChars="200"/>
        <w:rPr>
          <w:rFonts w:ascii="Times New Roman" w:hAnsi="Times New Roman" w:cs="Times New Roman"/>
          <w:bCs/>
          <w:sz w:val="24"/>
        </w:rPr>
      </w:pPr>
      <w:r>
        <w:rPr>
          <w:rFonts w:hint="eastAsia" w:ascii="Times New Roman" w:hAnsi="Times New Roman" w:cs="Times New Roman"/>
          <w:bCs/>
          <w:sz w:val="24"/>
        </w:rPr>
        <w:t>（二）</w:t>
      </w:r>
      <w:r>
        <w:rPr>
          <w:rFonts w:ascii="Times New Roman" w:hAnsi="Times New Roman" w:cs="Times New Roman"/>
          <w:bCs/>
          <w:sz w:val="24"/>
        </w:rPr>
        <w:t>掌握建筑学学科坚实的基础理论和宽广的专业知识、系统的建筑学基本理论和熟练的设计实践技能，熟悉工程方面的科学技术，具有较强的综合应用能力。掌握一门外国语，具备自主获取新知识的能力，能熟练地进行专业阅读和写作，具有良好的外语听说能力和进行国际交流的能力。</w:t>
      </w:r>
    </w:p>
    <w:p>
      <w:pPr>
        <w:spacing w:line="400" w:lineRule="exact"/>
        <w:ind w:firstLine="480" w:firstLineChars="200"/>
        <w:rPr>
          <w:rFonts w:ascii="Times New Roman" w:hAnsi="Times New Roman" w:cs="Times New Roman"/>
          <w:bCs/>
          <w:sz w:val="24"/>
        </w:rPr>
      </w:pPr>
      <w:r>
        <w:rPr>
          <w:rFonts w:hint="eastAsia" w:ascii="Times New Roman" w:hAnsi="Times New Roman" w:cs="Times New Roman"/>
          <w:bCs/>
          <w:sz w:val="24"/>
        </w:rPr>
        <w:t>（三）</w:t>
      </w:r>
      <w:r>
        <w:rPr>
          <w:rFonts w:ascii="Times New Roman" w:hAnsi="Times New Roman" w:cs="Times New Roman"/>
          <w:bCs/>
          <w:sz w:val="24"/>
        </w:rPr>
        <w:t>积极参加文体活动，具备良好的心理素质和健康的体魄，养成乐观坚毅的品格，树立正确的审美观念，具备良好的人文素养和道德情操。</w:t>
      </w:r>
    </w:p>
    <w:p>
      <w:pPr>
        <w:spacing w:line="400" w:lineRule="exact"/>
        <w:ind w:firstLine="480" w:firstLineChars="200"/>
        <w:rPr>
          <w:rFonts w:ascii="Times New Roman" w:hAnsi="Times New Roman" w:cs="Times New Roman"/>
          <w:bCs/>
          <w:sz w:val="24"/>
        </w:rPr>
      </w:pPr>
      <w:r>
        <w:rPr>
          <w:rFonts w:hint="eastAsia" w:ascii="Times New Roman" w:hAnsi="Times New Roman" w:cs="Times New Roman"/>
          <w:bCs/>
          <w:sz w:val="24"/>
        </w:rPr>
        <w:t>（四）</w:t>
      </w:r>
      <w:r>
        <w:rPr>
          <w:rFonts w:ascii="Times New Roman" w:hAnsi="Times New Roman" w:cs="Times New Roman"/>
          <w:bCs/>
          <w:sz w:val="24"/>
        </w:rPr>
        <w:t>积极</w:t>
      </w:r>
      <w:r>
        <w:rPr>
          <w:rFonts w:hint="eastAsia" w:ascii="Times New Roman" w:hAnsi="Times New Roman" w:cs="Times New Roman"/>
          <w:bCs/>
          <w:sz w:val="24"/>
        </w:rPr>
        <w:t>结合工程实际岗位</w:t>
      </w:r>
      <w:r>
        <w:rPr>
          <w:rFonts w:ascii="Times New Roman" w:hAnsi="Times New Roman" w:cs="Times New Roman"/>
          <w:bCs/>
          <w:sz w:val="24"/>
        </w:rPr>
        <w:t>，</w:t>
      </w:r>
      <w:r>
        <w:rPr>
          <w:rFonts w:hint="eastAsia" w:ascii="Times New Roman" w:hAnsi="Times New Roman" w:cs="Times New Roman"/>
          <w:bCs/>
          <w:sz w:val="24"/>
        </w:rPr>
        <w:t>进行专业综合实践和应用能力训练，</w:t>
      </w:r>
      <w:r>
        <w:rPr>
          <w:rFonts w:ascii="Times New Roman" w:hAnsi="Times New Roman" w:cs="Times New Roman"/>
          <w:bCs/>
          <w:sz w:val="24"/>
        </w:rPr>
        <w:t>形成良好的劳动习惯。</w:t>
      </w:r>
    </w:p>
    <w:p>
      <w:pPr>
        <w:pStyle w:val="2"/>
        <w:spacing w:before="156" w:after="156"/>
        <w:rPr>
          <w:bCs w:val="0"/>
        </w:rPr>
      </w:pPr>
      <w:r>
        <w:t>二、研究方向</w:t>
      </w:r>
      <w:bookmarkEnd w:id="15"/>
      <w:bookmarkEnd w:id="16"/>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（一）建筑历史与理论</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（二）建筑设计及其理论</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（三）建筑技术科学</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（四）城市设计</w:t>
      </w:r>
    </w:p>
    <w:p>
      <w:pPr>
        <w:pStyle w:val="2"/>
        <w:spacing w:before="156" w:after="156"/>
        <w:rPr>
          <w:bCs w:val="0"/>
        </w:rPr>
      </w:pPr>
      <w:bookmarkStart w:id="17" w:name="_Toc454902488"/>
      <w:bookmarkStart w:id="18" w:name="_Toc455392346"/>
      <w:r>
        <w:t>三、学制</w:t>
      </w:r>
      <w:bookmarkEnd w:id="17"/>
      <w:r>
        <w:t>及学习年限</w:t>
      </w:r>
      <w:bookmarkEnd w:id="18"/>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建筑学全日制专业学位硕士研究生学制3年，学习年限一般为3-4年，最长不超过5年。</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非全日制专业学位硕士研究生学习年限可适当延长，一般为3-4年，最长不超过6年。</w:t>
      </w:r>
    </w:p>
    <w:p>
      <w:pPr>
        <w:spacing w:line="400" w:lineRule="exact"/>
        <w:ind w:firstLine="480" w:firstLineChars="200"/>
        <w:rPr>
          <w:bCs/>
          <w:sz w:val="24"/>
        </w:rPr>
      </w:pPr>
      <w:r>
        <w:rPr>
          <w:rFonts w:hint="eastAsia"/>
          <w:bCs/>
          <w:sz w:val="24"/>
        </w:rPr>
        <w:t>休学创业的研究生，最长学习年限为10年。</w:t>
      </w:r>
      <w:bookmarkStart w:id="19" w:name="_Toc455392348"/>
      <w:bookmarkStart w:id="20" w:name="_Toc454902489"/>
    </w:p>
    <w:p>
      <w:pPr>
        <w:pStyle w:val="2"/>
        <w:spacing w:before="156" w:after="156"/>
        <w:rPr>
          <w:bCs w:val="0"/>
        </w:rPr>
      </w:pPr>
      <w:r>
        <w:rPr>
          <w:rFonts w:hint="eastAsia"/>
        </w:rPr>
        <w:t>四、课程设置</w:t>
      </w:r>
      <w:bookmarkEnd w:id="19"/>
      <w:bookmarkEnd w:id="20"/>
      <w:r>
        <w:rPr>
          <w:rFonts w:hint="eastAsia"/>
        </w:rPr>
        <w:t>及学分要求</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（一）学分要求</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课程总学分数为≥39学分，其中课程学习学分为≥32学分，必修环节学分为</w:t>
      </w:r>
      <w:r>
        <w:rPr>
          <w:rFonts w:hint="eastAsia" w:ascii="Times New Roman" w:hAnsi="Times New Roman" w:cs="Times New Roman"/>
          <w:bCs/>
          <w:sz w:val="24"/>
        </w:rPr>
        <w:t>5</w:t>
      </w:r>
      <w:r>
        <w:rPr>
          <w:rFonts w:ascii="Times New Roman" w:hAnsi="Times New Roman" w:cs="Times New Roman"/>
          <w:bCs/>
          <w:sz w:val="24"/>
        </w:rPr>
        <w:t>学分。所修课程由公共学位课、专业学位课和选修课三部分组成，其中公共学位课≥6学分，专业学位课≥16学分，选修课≥1</w:t>
      </w:r>
      <w:r>
        <w:rPr>
          <w:rFonts w:hint="eastAsia" w:ascii="Times New Roman" w:hAnsi="Times New Roman" w:cs="Times New Roman"/>
          <w:bCs/>
          <w:sz w:val="24"/>
        </w:rPr>
        <w:t>0</w:t>
      </w:r>
      <w:r>
        <w:rPr>
          <w:rFonts w:ascii="Times New Roman" w:hAnsi="Times New Roman" w:cs="Times New Roman"/>
          <w:bCs/>
          <w:sz w:val="24"/>
        </w:rPr>
        <w:t>学分。必修环节7学分，包括：实践环节6学分，选题报告及中期考核1学分。</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（二）课程设置</w:t>
      </w:r>
    </w:p>
    <w:tbl>
      <w:tblPr>
        <w:tblStyle w:val="6"/>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854"/>
        <w:gridCol w:w="1302"/>
        <w:gridCol w:w="1334"/>
        <w:gridCol w:w="567"/>
        <w:gridCol w:w="567"/>
        <w:gridCol w:w="567"/>
        <w:gridCol w:w="708"/>
        <w:gridCol w:w="1134"/>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课程</w:t>
            </w:r>
          </w:p>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类别</w:t>
            </w:r>
          </w:p>
        </w:tc>
        <w:tc>
          <w:tcPr>
            <w:tcW w:w="854"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课程</w:t>
            </w:r>
          </w:p>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类型</w:t>
            </w:r>
          </w:p>
        </w:tc>
        <w:tc>
          <w:tcPr>
            <w:tcW w:w="1302"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课程编号</w:t>
            </w:r>
          </w:p>
        </w:tc>
        <w:tc>
          <w:tcPr>
            <w:tcW w:w="1334"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课程名称</w:t>
            </w:r>
          </w:p>
        </w:tc>
        <w:tc>
          <w:tcPr>
            <w:tcW w:w="567"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理论</w:t>
            </w:r>
          </w:p>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学时</w:t>
            </w:r>
          </w:p>
        </w:tc>
        <w:tc>
          <w:tcPr>
            <w:tcW w:w="567"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实验</w:t>
            </w:r>
          </w:p>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学时</w:t>
            </w:r>
          </w:p>
        </w:tc>
        <w:tc>
          <w:tcPr>
            <w:tcW w:w="567"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学</w:t>
            </w:r>
          </w:p>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分</w:t>
            </w:r>
          </w:p>
        </w:tc>
        <w:tc>
          <w:tcPr>
            <w:tcW w:w="708"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开课</w:t>
            </w:r>
          </w:p>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学期</w:t>
            </w:r>
          </w:p>
        </w:tc>
        <w:tc>
          <w:tcPr>
            <w:tcW w:w="1134"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开课</w:t>
            </w:r>
          </w:p>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单位</w:t>
            </w:r>
          </w:p>
        </w:tc>
        <w:tc>
          <w:tcPr>
            <w:tcW w:w="679" w:type="dxa"/>
            <w:vAlign w:val="center"/>
          </w:tcPr>
          <w:p>
            <w:pPr>
              <w:ind w:left="-105" w:leftChars="-50" w:right="-105" w:rightChars="-50"/>
              <w:jc w:val="center"/>
              <w:rPr>
                <w:rFonts w:ascii="Times New Roman" w:hAnsi="Times New Roman" w:cs="Times New Roman" w:eastAsiaTheme="majorEastAsia"/>
                <w:b/>
                <w:sz w:val="22"/>
              </w:rPr>
            </w:pPr>
            <w:r>
              <w:rPr>
                <w:rFonts w:ascii="Times New Roman" w:hAnsi="Times New Roman" w:cs="Times New Roman" w:eastAsiaTheme="majorEastAsia"/>
                <w:b/>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restart"/>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公共</w:t>
            </w:r>
          </w:p>
          <w:p>
            <w:pPr>
              <w:ind w:left="-105" w:leftChars="-50" w:right="-105" w:rightChars="-50"/>
              <w:jc w:val="center"/>
              <w:rPr>
                <w:rFonts w:ascii="Times New Roman" w:hAnsi="Times New Roman" w:cs="Times New Roman"/>
                <w:sz w:val="22"/>
              </w:rPr>
            </w:pPr>
            <w:r>
              <w:rPr>
                <w:rFonts w:ascii="Times New Roman" w:hAnsi="Times New Roman" w:cs="Times New Roman"/>
                <w:sz w:val="22"/>
              </w:rPr>
              <w:t>学位课（6学分）</w:t>
            </w:r>
          </w:p>
          <w:p>
            <w:pPr>
              <w:ind w:left="-105" w:leftChars="-50" w:right="-105" w:rightChars="-50"/>
              <w:rPr>
                <w:rFonts w:ascii="Times New Roman" w:hAnsi="Times New Roman" w:cs="Times New Roman"/>
                <w:sz w:val="22"/>
              </w:rPr>
            </w:pPr>
          </w:p>
        </w:tc>
        <w:tc>
          <w:tcPr>
            <w:tcW w:w="854" w:type="dxa"/>
            <w:vMerge w:val="restart"/>
            <w:vAlign w:val="center"/>
          </w:tcPr>
          <w:p>
            <w:pPr>
              <w:widowControl/>
              <w:ind w:left="-105" w:leftChars="-50" w:right="-105" w:rightChars="-50"/>
              <w:jc w:val="center"/>
              <w:rPr>
                <w:rFonts w:ascii="Times New Roman" w:hAnsi="Times New Roman" w:cs="Times New Roman"/>
                <w:kern w:val="0"/>
                <w:sz w:val="22"/>
              </w:rPr>
            </w:pPr>
            <w:r>
              <w:rPr>
                <w:rFonts w:ascii="Times New Roman" w:hAnsi="Times New Roman" w:cs="Times New Roman"/>
                <w:sz w:val="22"/>
              </w:rPr>
              <w:t>外语</w:t>
            </w:r>
          </w:p>
          <w:p>
            <w:pPr>
              <w:widowControl/>
              <w:ind w:left="-105" w:leftChars="-50" w:right="-105" w:rightChars="-50"/>
              <w:jc w:val="center"/>
              <w:rPr>
                <w:rFonts w:ascii="Times New Roman" w:hAnsi="Times New Roman" w:cs="Times New Roman"/>
                <w:sz w:val="22"/>
              </w:rPr>
            </w:pPr>
            <w:r>
              <w:rPr>
                <w:rFonts w:ascii="Times New Roman" w:hAnsi="Times New Roman" w:cs="Times New Roman"/>
                <w:sz w:val="22"/>
              </w:rPr>
              <w:t>（</w:t>
            </w:r>
            <w:r>
              <w:rPr>
                <w:rFonts w:hint="eastAsia" w:ascii="Times New Roman" w:hAnsi="Times New Roman" w:cs="Times New Roman"/>
                <w:sz w:val="22"/>
              </w:rPr>
              <w:t>2</w:t>
            </w:r>
            <w:r>
              <w:rPr>
                <w:rFonts w:ascii="Times New Roman" w:hAnsi="Times New Roman" w:cs="Times New Roman"/>
                <w:sz w:val="22"/>
              </w:rPr>
              <w:t>学分）</w:t>
            </w:r>
          </w:p>
        </w:tc>
        <w:tc>
          <w:tcPr>
            <w:tcW w:w="1302" w:type="dxa"/>
            <w:vAlign w:val="center"/>
          </w:tcPr>
          <w:p>
            <w:pPr>
              <w:widowControl/>
              <w:jc w:val="center"/>
              <w:rPr>
                <w:rFonts w:eastAsia="等线"/>
                <w:kern w:val="0"/>
                <w:sz w:val="22"/>
              </w:rPr>
            </w:pPr>
            <w:r>
              <w:rPr>
                <w:rFonts w:eastAsia="等线"/>
                <w:kern w:val="0"/>
                <w:sz w:val="22"/>
              </w:rPr>
              <w:t>40200123001</w:t>
            </w:r>
          </w:p>
        </w:tc>
        <w:tc>
          <w:tcPr>
            <w:tcW w:w="1334" w:type="dxa"/>
            <w:vAlign w:val="center"/>
          </w:tcPr>
          <w:p>
            <w:pPr>
              <w:widowControl/>
              <w:jc w:val="center"/>
              <w:rPr>
                <w:kern w:val="0"/>
                <w:sz w:val="22"/>
              </w:rPr>
            </w:pPr>
            <w:r>
              <w:rPr>
                <w:rFonts w:hint="eastAsia"/>
                <w:kern w:val="0"/>
                <w:sz w:val="22"/>
              </w:rPr>
              <w:t>学术英语读写</w:t>
            </w:r>
          </w:p>
        </w:tc>
        <w:tc>
          <w:tcPr>
            <w:tcW w:w="567" w:type="dxa"/>
            <w:vAlign w:val="center"/>
          </w:tcPr>
          <w:p>
            <w:pPr>
              <w:widowControl/>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widowControl/>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restart"/>
            <w:vAlign w:val="center"/>
          </w:tcPr>
          <w:p>
            <w:pPr>
              <w:jc w:val="center"/>
              <w:rPr>
                <w:kern w:val="0"/>
                <w:sz w:val="22"/>
              </w:rPr>
            </w:pPr>
            <w:r>
              <w:rPr>
                <w:rFonts w:hint="eastAsia"/>
                <w:kern w:val="0"/>
                <w:sz w:val="22"/>
              </w:rPr>
              <w:t>任选1门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40200123002</w:t>
            </w:r>
          </w:p>
        </w:tc>
        <w:tc>
          <w:tcPr>
            <w:tcW w:w="1334" w:type="dxa"/>
            <w:vAlign w:val="center"/>
          </w:tcPr>
          <w:p>
            <w:pPr>
              <w:jc w:val="center"/>
              <w:rPr>
                <w:kern w:val="0"/>
                <w:sz w:val="22"/>
              </w:rPr>
            </w:pPr>
            <w:r>
              <w:rPr>
                <w:rFonts w:hint="eastAsia"/>
                <w:kern w:val="0"/>
                <w:sz w:val="22"/>
              </w:rPr>
              <w:t>学术英语交流</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40200123003</w:t>
            </w:r>
          </w:p>
        </w:tc>
        <w:tc>
          <w:tcPr>
            <w:tcW w:w="1334" w:type="dxa"/>
            <w:vAlign w:val="center"/>
          </w:tcPr>
          <w:p>
            <w:pPr>
              <w:jc w:val="center"/>
              <w:rPr>
                <w:kern w:val="0"/>
                <w:sz w:val="22"/>
              </w:rPr>
            </w:pPr>
            <w:r>
              <w:rPr>
                <w:rFonts w:hint="eastAsia"/>
                <w:kern w:val="0"/>
                <w:sz w:val="22"/>
              </w:rPr>
              <w:t>雅思考试技巧与实践</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40200123004</w:t>
            </w:r>
          </w:p>
        </w:tc>
        <w:tc>
          <w:tcPr>
            <w:tcW w:w="1334" w:type="dxa"/>
            <w:vAlign w:val="center"/>
          </w:tcPr>
          <w:p>
            <w:pPr>
              <w:jc w:val="center"/>
              <w:rPr>
                <w:kern w:val="0"/>
                <w:sz w:val="22"/>
              </w:rPr>
            </w:pPr>
            <w:r>
              <w:rPr>
                <w:rFonts w:hint="eastAsia"/>
                <w:kern w:val="0"/>
                <w:sz w:val="22"/>
              </w:rPr>
              <w:t>托福考试技巧与实践</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40200123005</w:t>
            </w:r>
          </w:p>
        </w:tc>
        <w:tc>
          <w:tcPr>
            <w:tcW w:w="1334" w:type="dxa"/>
            <w:vAlign w:val="center"/>
          </w:tcPr>
          <w:p>
            <w:pPr>
              <w:jc w:val="center"/>
              <w:rPr>
                <w:kern w:val="0"/>
                <w:sz w:val="22"/>
              </w:rPr>
            </w:pPr>
            <w:r>
              <w:rPr>
                <w:rFonts w:hint="eastAsia"/>
                <w:kern w:val="0"/>
                <w:sz w:val="22"/>
              </w:rPr>
              <w:t>翻译技巧与实践</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40200123006</w:t>
            </w:r>
          </w:p>
        </w:tc>
        <w:tc>
          <w:tcPr>
            <w:tcW w:w="1334" w:type="dxa"/>
            <w:vAlign w:val="center"/>
          </w:tcPr>
          <w:p>
            <w:pPr>
              <w:jc w:val="center"/>
              <w:rPr>
                <w:kern w:val="0"/>
                <w:sz w:val="22"/>
              </w:rPr>
            </w:pPr>
            <w:r>
              <w:rPr>
                <w:rFonts w:hint="eastAsia"/>
                <w:kern w:val="0"/>
                <w:sz w:val="22"/>
              </w:rPr>
              <w:t>名剧民品</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40200123007</w:t>
            </w:r>
          </w:p>
        </w:tc>
        <w:tc>
          <w:tcPr>
            <w:tcW w:w="1334" w:type="dxa"/>
            <w:vAlign w:val="center"/>
          </w:tcPr>
          <w:p>
            <w:pPr>
              <w:jc w:val="center"/>
              <w:rPr>
                <w:kern w:val="0"/>
                <w:sz w:val="22"/>
              </w:rPr>
            </w:pPr>
            <w:r>
              <w:rPr>
                <w:rFonts w:hint="eastAsia"/>
                <w:kern w:val="0"/>
                <w:sz w:val="22"/>
              </w:rPr>
              <w:t>英语公共演讲</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40200123008</w:t>
            </w:r>
          </w:p>
        </w:tc>
        <w:tc>
          <w:tcPr>
            <w:tcW w:w="1334" w:type="dxa"/>
            <w:vAlign w:val="center"/>
          </w:tcPr>
          <w:p>
            <w:pPr>
              <w:jc w:val="center"/>
              <w:rPr>
                <w:kern w:val="0"/>
                <w:sz w:val="22"/>
              </w:rPr>
            </w:pPr>
            <w:r>
              <w:rPr>
                <w:rFonts w:hint="eastAsia"/>
                <w:kern w:val="0"/>
                <w:sz w:val="22"/>
              </w:rPr>
              <w:t>研究生英语听说实践</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40200123009</w:t>
            </w:r>
          </w:p>
        </w:tc>
        <w:tc>
          <w:tcPr>
            <w:tcW w:w="1334" w:type="dxa"/>
            <w:vAlign w:val="center"/>
          </w:tcPr>
          <w:p>
            <w:pPr>
              <w:jc w:val="center"/>
              <w:rPr>
                <w:kern w:val="0"/>
                <w:sz w:val="22"/>
              </w:rPr>
            </w:pPr>
            <w:r>
              <w:rPr>
                <w:rFonts w:hint="eastAsia"/>
                <w:kern w:val="0"/>
                <w:sz w:val="22"/>
              </w:rPr>
              <w:t>跨文化交际</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40200123010</w:t>
            </w:r>
          </w:p>
        </w:tc>
        <w:tc>
          <w:tcPr>
            <w:tcW w:w="1334" w:type="dxa"/>
            <w:vAlign w:val="center"/>
          </w:tcPr>
          <w:p>
            <w:pPr>
              <w:jc w:val="center"/>
              <w:rPr>
                <w:kern w:val="0"/>
                <w:sz w:val="22"/>
              </w:rPr>
            </w:pPr>
            <w:r>
              <w:rPr>
                <w:rFonts w:hint="eastAsia"/>
                <w:kern w:val="0"/>
                <w:sz w:val="22"/>
              </w:rPr>
              <w:t>科技英语实训</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40200123011</w:t>
            </w:r>
          </w:p>
        </w:tc>
        <w:tc>
          <w:tcPr>
            <w:tcW w:w="1334" w:type="dxa"/>
            <w:vAlign w:val="center"/>
          </w:tcPr>
          <w:p>
            <w:pPr>
              <w:jc w:val="center"/>
              <w:rPr>
                <w:kern w:val="0"/>
                <w:sz w:val="22"/>
              </w:rPr>
            </w:pPr>
            <w:r>
              <w:rPr>
                <w:rFonts w:hint="eastAsia"/>
                <w:kern w:val="0"/>
                <w:sz w:val="22"/>
              </w:rPr>
              <w:t>英语论语导读</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40200123012</w:t>
            </w:r>
          </w:p>
        </w:tc>
        <w:tc>
          <w:tcPr>
            <w:tcW w:w="1334" w:type="dxa"/>
            <w:vAlign w:val="center"/>
          </w:tcPr>
          <w:p>
            <w:pPr>
              <w:jc w:val="center"/>
              <w:rPr>
                <w:kern w:val="0"/>
                <w:sz w:val="22"/>
              </w:rPr>
            </w:pPr>
            <w:r>
              <w:rPr>
                <w:rFonts w:hint="eastAsia"/>
                <w:kern w:val="0"/>
                <w:sz w:val="22"/>
              </w:rPr>
              <w:t>学术阅读策略</w:t>
            </w:r>
          </w:p>
        </w:tc>
        <w:tc>
          <w:tcPr>
            <w:tcW w:w="567" w:type="dxa"/>
            <w:vAlign w:val="center"/>
          </w:tcPr>
          <w:p>
            <w:pPr>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rFonts w:eastAsia="等线"/>
                <w:kern w:val="0"/>
                <w:sz w:val="22"/>
              </w:rPr>
            </w:pPr>
            <w:r>
              <w:rPr>
                <w:rFonts w:eastAsia="等线"/>
                <w:kern w:val="0"/>
                <w:sz w:val="22"/>
              </w:rPr>
              <w:t>40200123013</w:t>
            </w:r>
          </w:p>
        </w:tc>
        <w:tc>
          <w:tcPr>
            <w:tcW w:w="1334" w:type="dxa"/>
            <w:vAlign w:val="center"/>
          </w:tcPr>
          <w:p>
            <w:pPr>
              <w:jc w:val="center"/>
              <w:rPr>
                <w:kern w:val="0"/>
                <w:sz w:val="22"/>
              </w:rPr>
            </w:pPr>
            <w:r>
              <w:rPr>
                <w:rFonts w:hint="eastAsia"/>
                <w:kern w:val="0"/>
                <w:sz w:val="22"/>
              </w:rPr>
              <w:t>学术英语交流与表达</w:t>
            </w:r>
          </w:p>
        </w:tc>
        <w:tc>
          <w:tcPr>
            <w:tcW w:w="567" w:type="dxa"/>
            <w:vAlign w:val="center"/>
          </w:tcPr>
          <w:p>
            <w:pPr>
              <w:widowControl/>
              <w:jc w:val="center"/>
              <w:rPr>
                <w:rFonts w:eastAsia="等线"/>
                <w:kern w:val="0"/>
                <w:sz w:val="22"/>
              </w:rPr>
            </w:pPr>
            <w:r>
              <w:rPr>
                <w:rFonts w:eastAsia="等线"/>
                <w:kern w:val="0"/>
                <w:sz w:val="22"/>
              </w:rPr>
              <w:t>36</w:t>
            </w:r>
          </w:p>
        </w:tc>
        <w:tc>
          <w:tcPr>
            <w:tcW w:w="567" w:type="dxa"/>
            <w:vAlign w:val="center"/>
          </w:tcPr>
          <w:p>
            <w:pPr>
              <w:jc w:val="center"/>
              <w:rPr>
                <w:kern w:val="0"/>
                <w:sz w:val="22"/>
              </w:rPr>
            </w:pPr>
          </w:p>
        </w:tc>
        <w:tc>
          <w:tcPr>
            <w:tcW w:w="567" w:type="dxa"/>
            <w:vAlign w:val="center"/>
          </w:tcPr>
          <w:p>
            <w:pPr>
              <w:widowControl/>
              <w:jc w:val="center"/>
              <w:rPr>
                <w:rFonts w:eastAsia="等线"/>
                <w:kern w:val="0"/>
                <w:sz w:val="22"/>
              </w:rPr>
            </w:pPr>
            <w:r>
              <w:rPr>
                <w:rFonts w:eastAsia="等线"/>
                <w:kern w:val="0"/>
                <w:sz w:val="22"/>
              </w:rPr>
              <w:t>2</w:t>
            </w:r>
          </w:p>
        </w:tc>
        <w:tc>
          <w:tcPr>
            <w:tcW w:w="708" w:type="dxa"/>
            <w:vAlign w:val="center"/>
          </w:tcPr>
          <w:p>
            <w:pPr>
              <w:jc w:val="center"/>
              <w:rPr>
                <w:kern w:val="0"/>
                <w:sz w:val="22"/>
              </w:rPr>
            </w:pPr>
            <w:r>
              <w:rPr>
                <w:kern w:val="0"/>
                <w:sz w:val="22"/>
              </w:rPr>
              <w:t>1</w:t>
            </w:r>
            <w:r>
              <w:rPr>
                <w:rFonts w:hint="eastAsia"/>
                <w:kern w:val="0"/>
                <w:sz w:val="22"/>
              </w:rPr>
              <w:t>、</w:t>
            </w: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tcPr>
          <w:p>
            <w:pPr>
              <w:jc w:val="center"/>
              <w:rPr>
                <w:rFonts w:eastAsia="等线"/>
                <w:kern w:val="0"/>
                <w:sz w:val="22"/>
              </w:rPr>
            </w:pPr>
            <w:r>
              <w:rPr>
                <w:kern w:val="0"/>
                <w:sz w:val="22"/>
              </w:rPr>
              <w:t>60200123002</w:t>
            </w:r>
          </w:p>
        </w:tc>
        <w:tc>
          <w:tcPr>
            <w:tcW w:w="1334" w:type="dxa"/>
            <w:vAlign w:val="center"/>
          </w:tcPr>
          <w:p>
            <w:pPr>
              <w:jc w:val="center"/>
              <w:rPr>
                <w:kern w:val="0"/>
                <w:sz w:val="22"/>
              </w:rPr>
            </w:pPr>
            <w:r>
              <w:rPr>
                <w:rFonts w:hint="eastAsia"/>
                <w:kern w:val="0"/>
                <w:sz w:val="22"/>
              </w:rPr>
              <w:t>英语演讲（高阶）</w:t>
            </w:r>
          </w:p>
        </w:tc>
        <w:tc>
          <w:tcPr>
            <w:tcW w:w="567" w:type="dxa"/>
            <w:vAlign w:val="center"/>
          </w:tcPr>
          <w:p>
            <w:pPr>
              <w:widowControl/>
              <w:jc w:val="center"/>
              <w:rPr>
                <w:rFonts w:eastAsia="等线"/>
                <w:kern w:val="0"/>
                <w:sz w:val="22"/>
              </w:rPr>
            </w:pPr>
            <w:r>
              <w:rPr>
                <w:kern w:val="0"/>
                <w:sz w:val="22"/>
              </w:rPr>
              <w:t>36</w:t>
            </w:r>
          </w:p>
        </w:tc>
        <w:tc>
          <w:tcPr>
            <w:tcW w:w="567" w:type="dxa"/>
            <w:vAlign w:val="center"/>
          </w:tcPr>
          <w:p>
            <w:pPr>
              <w:jc w:val="center"/>
              <w:rPr>
                <w:kern w:val="0"/>
                <w:sz w:val="22"/>
              </w:rPr>
            </w:pPr>
          </w:p>
        </w:tc>
        <w:tc>
          <w:tcPr>
            <w:tcW w:w="567" w:type="dxa"/>
            <w:vAlign w:val="center"/>
          </w:tcPr>
          <w:p>
            <w:pPr>
              <w:widowControl/>
              <w:jc w:val="center"/>
              <w:rPr>
                <w:rFonts w:eastAsia="等线"/>
                <w:kern w:val="0"/>
                <w:sz w:val="22"/>
              </w:rPr>
            </w:pPr>
            <w:r>
              <w:rPr>
                <w:kern w:val="0"/>
                <w:sz w:val="22"/>
              </w:rPr>
              <w:t>2</w:t>
            </w:r>
          </w:p>
        </w:tc>
        <w:tc>
          <w:tcPr>
            <w:tcW w:w="708" w:type="dxa"/>
            <w:vAlign w:val="center"/>
          </w:tcPr>
          <w:p>
            <w:pPr>
              <w:jc w:val="center"/>
              <w:rPr>
                <w:kern w:val="0"/>
                <w:sz w:val="22"/>
              </w:rPr>
            </w:pPr>
            <w:r>
              <w:rPr>
                <w:kern w:val="0"/>
                <w:sz w:val="22"/>
              </w:rPr>
              <w:t>1</w:t>
            </w:r>
            <w:r>
              <w:rPr>
                <w:rFonts w:hint="eastAsia"/>
                <w:kern w:val="0"/>
                <w:sz w:val="22"/>
              </w:rPr>
              <w:t>、2</w:t>
            </w:r>
          </w:p>
        </w:tc>
        <w:tc>
          <w:tcPr>
            <w:tcW w:w="1134" w:type="dxa"/>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tcPr>
          <w:p>
            <w:pPr>
              <w:jc w:val="center"/>
              <w:rPr>
                <w:rFonts w:eastAsia="等线"/>
                <w:kern w:val="0"/>
                <w:sz w:val="22"/>
              </w:rPr>
            </w:pPr>
            <w:r>
              <w:rPr>
                <w:kern w:val="0"/>
                <w:sz w:val="22"/>
              </w:rPr>
              <w:t>60200123001</w:t>
            </w:r>
          </w:p>
        </w:tc>
        <w:tc>
          <w:tcPr>
            <w:tcW w:w="1334" w:type="dxa"/>
            <w:vAlign w:val="center"/>
          </w:tcPr>
          <w:p>
            <w:pPr>
              <w:jc w:val="center"/>
              <w:rPr>
                <w:kern w:val="0"/>
                <w:sz w:val="22"/>
              </w:rPr>
            </w:pPr>
            <w:r>
              <w:rPr>
                <w:rFonts w:hint="eastAsia"/>
                <w:kern w:val="0"/>
                <w:sz w:val="22"/>
              </w:rPr>
              <w:t>科技英语阅读与写作（高阶）</w:t>
            </w:r>
          </w:p>
        </w:tc>
        <w:tc>
          <w:tcPr>
            <w:tcW w:w="567" w:type="dxa"/>
            <w:vAlign w:val="center"/>
          </w:tcPr>
          <w:p>
            <w:pPr>
              <w:widowControl/>
              <w:jc w:val="center"/>
              <w:rPr>
                <w:rFonts w:eastAsia="等线"/>
                <w:kern w:val="0"/>
                <w:sz w:val="22"/>
              </w:rPr>
            </w:pPr>
            <w:r>
              <w:rPr>
                <w:kern w:val="0"/>
                <w:sz w:val="22"/>
              </w:rPr>
              <w:t>36</w:t>
            </w:r>
          </w:p>
        </w:tc>
        <w:tc>
          <w:tcPr>
            <w:tcW w:w="567" w:type="dxa"/>
            <w:vAlign w:val="center"/>
          </w:tcPr>
          <w:p>
            <w:pPr>
              <w:jc w:val="center"/>
              <w:rPr>
                <w:kern w:val="0"/>
                <w:sz w:val="22"/>
              </w:rPr>
            </w:pPr>
          </w:p>
        </w:tc>
        <w:tc>
          <w:tcPr>
            <w:tcW w:w="567" w:type="dxa"/>
            <w:vAlign w:val="center"/>
          </w:tcPr>
          <w:p>
            <w:pPr>
              <w:widowControl/>
              <w:jc w:val="center"/>
              <w:rPr>
                <w:rFonts w:eastAsia="等线"/>
                <w:kern w:val="0"/>
                <w:sz w:val="22"/>
              </w:rPr>
            </w:pPr>
            <w:r>
              <w:rPr>
                <w:kern w:val="0"/>
                <w:sz w:val="22"/>
              </w:rPr>
              <w:t>2</w:t>
            </w:r>
          </w:p>
        </w:tc>
        <w:tc>
          <w:tcPr>
            <w:tcW w:w="708" w:type="dxa"/>
            <w:vAlign w:val="center"/>
          </w:tcPr>
          <w:p>
            <w:pPr>
              <w:jc w:val="center"/>
              <w:rPr>
                <w:kern w:val="0"/>
                <w:sz w:val="22"/>
              </w:rPr>
            </w:pPr>
            <w:r>
              <w:rPr>
                <w:kern w:val="0"/>
                <w:sz w:val="22"/>
              </w:rPr>
              <w:t>1</w:t>
            </w:r>
            <w:r>
              <w:rPr>
                <w:rFonts w:hint="eastAsia"/>
                <w:kern w:val="0"/>
                <w:sz w:val="22"/>
              </w:rPr>
              <w:t>、2</w:t>
            </w:r>
          </w:p>
        </w:tc>
        <w:tc>
          <w:tcPr>
            <w:tcW w:w="1134" w:type="dxa"/>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900" w:type="dxa"/>
            <w:vMerge w:val="continue"/>
            <w:vAlign w:val="center"/>
          </w:tcPr>
          <w:p>
            <w:pPr>
              <w:ind w:left="-105" w:leftChars="-50" w:right="-105" w:rightChars="-50"/>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sz w:val="22"/>
              </w:rPr>
              <w:t>40200123014-17</w:t>
            </w:r>
          </w:p>
        </w:tc>
        <w:tc>
          <w:tcPr>
            <w:tcW w:w="1334" w:type="dxa"/>
            <w:vAlign w:val="center"/>
          </w:tcPr>
          <w:p>
            <w:pPr>
              <w:jc w:val="center"/>
              <w:rPr>
                <w:kern w:val="0"/>
                <w:sz w:val="22"/>
              </w:rPr>
            </w:pPr>
            <w:r>
              <w:rPr>
                <w:rFonts w:hint="eastAsia"/>
                <w:kern w:val="0"/>
                <w:sz w:val="22"/>
              </w:rPr>
              <w:t>第一外国语</w:t>
            </w:r>
          </w:p>
          <w:p>
            <w:pPr>
              <w:jc w:val="center"/>
              <w:rPr>
                <w:kern w:val="0"/>
                <w:sz w:val="22"/>
              </w:rPr>
            </w:pPr>
            <w:r>
              <w:rPr>
                <w:rFonts w:hint="eastAsia"/>
                <w:kern w:val="0"/>
                <w:sz w:val="22"/>
              </w:rPr>
              <w:t>（日、法、德、俄语）</w:t>
            </w:r>
          </w:p>
        </w:tc>
        <w:tc>
          <w:tcPr>
            <w:tcW w:w="567" w:type="dxa"/>
            <w:vAlign w:val="center"/>
          </w:tcPr>
          <w:p>
            <w:pPr>
              <w:widowControl/>
              <w:jc w:val="center"/>
              <w:rPr>
                <w:kern w:val="0"/>
                <w:sz w:val="22"/>
              </w:rPr>
            </w:pPr>
            <w:r>
              <w:rPr>
                <w:kern w:val="0"/>
                <w:sz w:val="22"/>
              </w:rPr>
              <w:t>36</w:t>
            </w:r>
          </w:p>
        </w:tc>
        <w:tc>
          <w:tcPr>
            <w:tcW w:w="567" w:type="dxa"/>
            <w:vAlign w:val="center"/>
          </w:tcPr>
          <w:p>
            <w:pPr>
              <w:jc w:val="center"/>
              <w:rPr>
                <w:kern w:val="0"/>
                <w:sz w:val="22"/>
              </w:rPr>
            </w:pPr>
          </w:p>
        </w:tc>
        <w:tc>
          <w:tcPr>
            <w:tcW w:w="567" w:type="dxa"/>
            <w:vAlign w:val="center"/>
          </w:tcPr>
          <w:p>
            <w:pPr>
              <w:widowControl/>
              <w:jc w:val="center"/>
              <w:rPr>
                <w:kern w:val="0"/>
                <w:sz w:val="22"/>
              </w:rPr>
            </w:pPr>
            <w:r>
              <w:rPr>
                <w:kern w:val="0"/>
                <w:sz w:val="22"/>
              </w:rPr>
              <w:t>2</w:t>
            </w:r>
          </w:p>
        </w:tc>
        <w:tc>
          <w:tcPr>
            <w:tcW w:w="708" w:type="dxa"/>
            <w:vAlign w:val="center"/>
          </w:tcPr>
          <w:p>
            <w:pPr>
              <w:jc w:val="center"/>
              <w:rPr>
                <w:kern w:val="0"/>
                <w:sz w:val="22"/>
              </w:rPr>
            </w:pPr>
            <w:r>
              <w:rPr>
                <w:kern w:val="0"/>
                <w:sz w:val="22"/>
              </w:rPr>
              <w:t>2</w:t>
            </w:r>
          </w:p>
        </w:tc>
        <w:tc>
          <w:tcPr>
            <w:tcW w:w="1134" w:type="dxa"/>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679" w:type="dxa"/>
            <w:vMerge w:val="continue"/>
            <w:vAlign w:val="center"/>
          </w:tcPr>
          <w:p>
            <w:pPr>
              <w:jc w:val="center"/>
              <w:rPr>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restart"/>
            <w:vAlign w:val="center"/>
          </w:tcPr>
          <w:p>
            <w:pPr>
              <w:ind w:left="-105" w:leftChars="-50" w:right="-105" w:rightChars="-50"/>
              <w:jc w:val="center"/>
              <w:rPr>
                <w:rFonts w:ascii="Times New Roman" w:hAnsi="Times New Roman" w:cs="Times New Roman"/>
                <w:sz w:val="22"/>
              </w:rPr>
            </w:pPr>
          </w:p>
        </w:tc>
        <w:tc>
          <w:tcPr>
            <w:tcW w:w="854" w:type="dxa"/>
            <w:vAlign w:val="center"/>
          </w:tcPr>
          <w:p>
            <w:pPr>
              <w:widowControl/>
              <w:ind w:left="-105" w:leftChars="-50" w:right="-105" w:rightChars="-50"/>
              <w:jc w:val="center"/>
              <w:rPr>
                <w:rFonts w:ascii="Times New Roman" w:hAnsi="Times New Roman" w:cs="Times New Roman"/>
                <w:kern w:val="0"/>
                <w:sz w:val="22"/>
              </w:rPr>
            </w:pPr>
            <w:r>
              <w:rPr>
                <w:rFonts w:ascii="Times New Roman" w:hAnsi="Times New Roman" w:cs="Times New Roman"/>
                <w:sz w:val="22"/>
              </w:rPr>
              <w:t>思政</w:t>
            </w:r>
          </w:p>
          <w:p>
            <w:pPr>
              <w:widowControl/>
              <w:ind w:left="-105" w:leftChars="-50" w:right="-105" w:rightChars="-50"/>
              <w:jc w:val="center"/>
              <w:rPr>
                <w:rFonts w:ascii="Times New Roman" w:hAnsi="Times New Roman" w:cs="Times New Roman"/>
                <w:sz w:val="22"/>
              </w:rPr>
            </w:pPr>
            <w:r>
              <w:rPr>
                <w:rFonts w:ascii="Times New Roman" w:hAnsi="Times New Roman" w:cs="Times New Roman"/>
                <w:sz w:val="22"/>
              </w:rPr>
              <w:t>（</w:t>
            </w:r>
            <w:r>
              <w:rPr>
                <w:rFonts w:hint="eastAsia" w:ascii="Times New Roman" w:hAnsi="Times New Roman" w:cs="Times New Roman"/>
                <w:sz w:val="22"/>
              </w:rPr>
              <w:t>4</w:t>
            </w:r>
            <w:r>
              <w:rPr>
                <w:rFonts w:ascii="Times New Roman" w:hAnsi="Times New Roman" w:cs="Times New Roman"/>
                <w:sz w:val="22"/>
              </w:rPr>
              <w:t>学分）</w:t>
            </w:r>
          </w:p>
        </w:tc>
        <w:tc>
          <w:tcPr>
            <w:tcW w:w="1302" w:type="dxa"/>
            <w:vAlign w:val="center"/>
          </w:tcPr>
          <w:p>
            <w:pPr>
              <w:widowControl/>
              <w:jc w:val="center"/>
              <w:rPr>
                <w:kern w:val="0"/>
                <w:sz w:val="22"/>
                <w:szCs w:val="24"/>
              </w:rPr>
            </w:pPr>
            <w:r>
              <w:rPr>
                <w:rFonts w:ascii="Times New Roman" w:hAnsi="Times New Roman" w:eastAsia="等线" w:cs="Times New Roman"/>
                <w:color w:val="000000"/>
                <w:sz w:val="22"/>
              </w:rPr>
              <w:t>50210123001</w:t>
            </w:r>
          </w:p>
        </w:tc>
        <w:tc>
          <w:tcPr>
            <w:tcW w:w="1334" w:type="dxa"/>
            <w:vAlign w:val="center"/>
          </w:tcPr>
          <w:p>
            <w:pPr>
              <w:widowControl/>
              <w:jc w:val="center"/>
              <w:rPr>
                <w:kern w:val="0"/>
                <w:sz w:val="22"/>
              </w:rPr>
            </w:pPr>
            <w:r>
              <w:rPr>
                <w:rFonts w:hint="eastAsia"/>
                <w:kern w:val="0"/>
                <w:sz w:val="22"/>
              </w:rPr>
              <w:t>新时代中国特色社会主义理论与实践</w:t>
            </w:r>
          </w:p>
        </w:tc>
        <w:tc>
          <w:tcPr>
            <w:tcW w:w="567" w:type="dxa"/>
            <w:vAlign w:val="center"/>
          </w:tcPr>
          <w:p>
            <w:pPr>
              <w:widowControl/>
              <w:jc w:val="center"/>
              <w:rPr>
                <w:kern w:val="0"/>
                <w:sz w:val="22"/>
              </w:rPr>
            </w:pPr>
            <w:r>
              <w:rPr>
                <w:kern w:val="0"/>
                <w:sz w:val="22"/>
              </w:rPr>
              <w:t>36</w:t>
            </w:r>
          </w:p>
        </w:tc>
        <w:tc>
          <w:tcPr>
            <w:tcW w:w="567" w:type="dxa"/>
            <w:vAlign w:val="center"/>
          </w:tcPr>
          <w:p>
            <w:pPr>
              <w:widowControl/>
              <w:jc w:val="center"/>
              <w:rPr>
                <w:kern w:val="0"/>
                <w:sz w:val="22"/>
              </w:rPr>
            </w:pPr>
          </w:p>
        </w:tc>
        <w:tc>
          <w:tcPr>
            <w:tcW w:w="567" w:type="dxa"/>
            <w:vAlign w:val="center"/>
          </w:tcPr>
          <w:p>
            <w:pPr>
              <w:widowControl/>
              <w:jc w:val="center"/>
              <w:rPr>
                <w:kern w:val="0"/>
                <w:sz w:val="22"/>
              </w:rPr>
            </w:pPr>
            <w:r>
              <w:rPr>
                <w:rFonts w:hint="eastAsia"/>
                <w:kern w:val="0"/>
                <w:sz w:val="22"/>
              </w:rPr>
              <w:t>2</w:t>
            </w:r>
          </w:p>
        </w:tc>
        <w:tc>
          <w:tcPr>
            <w:tcW w:w="708" w:type="dxa"/>
            <w:vAlign w:val="center"/>
          </w:tcPr>
          <w:p>
            <w:pPr>
              <w:widowControl/>
              <w:jc w:val="center"/>
              <w:rPr>
                <w:kern w:val="0"/>
                <w:sz w:val="22"/>
              </w:rPr>
            </w:pPr>
            <w:r>
              <w:rPr>
                <w:rFonts w:hint="eastAsia"/>
                <w:kern w:val="0"/>
                <w:sz w:val="22"/>
              </w:rPr>
              <w:t>2</w:t>
            </w:r>
          </w:p>
        </w:tc>
        <w:tc>
          <w:tcPr>
            <w:tcW w:w="1134" w:type="dxa"/>
            <w:vAlign w:val="center"/>
          </w:tcPr>
          <w:p>
            <w:pPr>
              <w:widowControl/>
              <w:jc w:val="center"/>
              <w:rPr>
                <w:kern w:val="0"/>
                <w:sz w:val="22"/>
              </w:rPr>
            </w:pPr>
            <w:r>
              <w:rPr>
                <w:rFonts w:hint="eastAsia"/>
                <w:kern w:val="0"/>
                <w:sz w:val="22"/>
              </w:rPr>
              <w:t>马克思主义学院</w:t>
            </w:r>
          </w:p>
        </w:tc>
        <w:tc>
          <w:tcPr>
            <w:tcW w:w="679" w:type="dxa"/>
            <w:vAlign w:val="center"/>
          </w:tcPr>
          <w:p>
            <w:pPr>
              <w:ind w:left="-105" w:leftChars="-50" w:right="-105" w:rightChars="-50"/>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vAlign w:val="center"/>
          </w:tcPr>
          <w:p>
            <w:pPr>
              <w:ind w:left="-105" w:leftChars="-50" w:right="-105" w:rightChars="-50"/>
              <w:jc w:val="center"/>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widowControl/>
              <w:jc w:val="center"/>
              <w:rPr>
                <w:kern w:val="0"/>
                <w:sz w:val="22"/>
                <w:szCs w:val="24"/>
              </w:rPr>
            </w:pPr>
            <w:r>
              <w:rPr>
                <w:rFonts w:ascii="Times New Roman" w:hAnsi="Times New Roman" w:eastAsia="等线" w:cs="Times New Roman"/>
                <w:color w:val="000000"/>
                <w:sz w:val="22"/>
              </w:rPr>
              <w:t>50210123002</w:t>
            </w:r>
          </w:p>
        </w:tc>
        <w:tc>
          <w:tcPr>
            <w:tcW w:w="1334" w:type="dxa"/>
            <w:vAlign w:val="center"/>
          </w:tcPr>
          <w:p>
            <w:pPr>
              <w:widowControl/>
              <w:jc w:val="center"/>
              <w:rPr>
                <w:kern w:val="0"/>
                <w:sz w:val="22"/>
              </w:rPr>
            </w:pPr>
            <w:r>
              <w:rPr>
                <w:rFonts w:hint="eastAsia"/>
                <w:kern w:val="0"/>
                <w:sz w:val="22"/>
              </w:rPr>
              <w:t>自然辩证法概论</w:t>
            </w:r>
          </w:p>
        </w:tc>
        <w:tc>
          <w:tcPr>
            <w:tcW w:w="567" w:type="dxa"/>
            <w:vAlign w:val="center"/>
          </w:tcPr>
          <w:p>
            <w:pPr>
              <w:widowControl/>
              <w:jc w:val="center"/>
              <w:rPr>
                <w:kern w:val="0"/>
                <w:sz w:val="22"/>
              </w:rPr>
            </w:pPr>
            <w:r>
              <w:rPr>
                <w:kern w:val="0"/>
                <w:sz w:val="22"/>
              </w:rPr>
              <w:t>18</w:t>
            </w:r>
          </w:p>
        </w:tc>
        <w:tc>
          <w:tcPr>
            <w:tcW w:w="567" w:type="dxa"/>
            <w:vAlign w:val="center"/>
          </w:tcPr>
          <w:p>
            <w:pPr>
              <w:widowControl/>
              <w:jc w:val="center"/>
              <w:rPr>
                <w:kern w:val="0"/>
                <w:sz w:val="22"/>
              </w:rPr>
            </w:pPr>
          </w:p>
        </w:tc>
        <w:tc>
          <w:tcPr>
            <w:tcW w:w="567" w:type="dxa"/>
            <w:vAlign w:val="center"/>
          </w:tcPr>
          <w:p>
            <w:pPr>
              <w:widowControl/>
              <w:jc w:val="center"/>
              <w:rPr>
                <w:kern w:val="0"/>
                <w:sz w:val="22"/>
              </w:rPr>
            </w:pPr>
            <w:r>
              <w:rPr>
                <w:rFonts w:hint="eastAsia"/>
                <w:kern w:val="0"/>
                <w:sz w:val="22"/>
              </w:rPr>
              <w:t>1</w:t>
            </w:r>
          </w:p>
        </w:tc>
        <w:tc>
          <w:tcPr>
            <w:tcW w:w="708" w:type="dxa"/>
            <w:vAlign w:val="center"/>
          </w:tcPr>
          <w:p>
            <w:pPr>
              <w:widowControl/>
              <w:jc w:val="center"/>
              <w:rPr>
                <w:kern w:val="0"/>
                <w:sz w:val="22"/>
              </w:rPr>
            </w:pPr>
            <w:r>
              <w:rPr>
                <w:rFonts w:hint="eastAsia"/>
                <w:kern w:val="0"/>
                <w:sz w:val="22"/>
              </w:rPr>
              <w:t>1</w:t>
            </w:r>
          </w:p>
        </w:tc>
        <w:tc>
          <w:tcPr>
            <w:tcW w:w="1134" w:type="dxa"/>
            <w:vAlign w:val="center"/>
          </w:tcPr>
          <w:p>
            <w:pPr>
              <w:widowControl/>
              <w:jc w:val="center"/>
              <w:rPr>
                <w:kern w:val="0"/>
                <w:sz w:val="22"/>
              </w:rPr>
            </w:pPr>
            <w:r>
              <w:rPr>
                <w:rFonts w:hint="eastAsia"/>
                <w:kern w:val="0"/>
                <w:sz w:val="22"/>
              </w:rPr>
              <w:t>马克思</w:t>
            </w:r>
          </w:p>
          <w:p>
            <w:pPr>
              <w:widowControl/>
              <w:jc w:val="center"/>
              <w:rPr>
                <w:kern w:val="0"/>
                <w:sz w:val="22"/>
              </w:rPr>
            </w:pPr>
            <w:r>
              <w:rPr>
                <w:rFonts w:hint="eastAsia"/>
                <w:kern w:val="0"/>
                <w:sz w:val="22"/>
              </w:rPr>
              <w:t>主义学院</w:t>
            </w:r>
          </w:p>
        </w:tc>
        <w:tc>
          <w:tcPr>
            <w:tcW w:w="679" w:type="dxa"/>
            <w:vAlign w:val="center"/>
          </w:tcPr>
          <w:p>
            <w:pPr>
              <w:ind w:left="-105" w:leftChars="-50" w:right="-105" w:rightChars="-50"/>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0" w:type="dxa"/>
            <w:vMerge w:val="continue"/>
            <w:vAlign w:val="center"/>
          </w:tcPr>
          <w:p>
            <w:pPr>
              <w:ind w:left="-105" w:leftChars="-50" w:right="-105" w:rightChars="-50"/>
              <w:jc w:val="center"/>
              <w:rPr>
                <w:rFonts w:ascii="Times New Roman" w:hAnsi="Times New Roman" w:cs="Times New Roman"/>
                <w:sz w:val="22"/>
              </w:rPr>
            </w:pPr>
          </w:p>
        </w:tc>
        <w:tc>
          <w:tcPr>
            <w:tcW w:w="854" w:type="dxa"/>
            <w:vMerge w:val="continue"/>
            <w:vAlign w:val="center"/>
          </w:tcPr>
          <w:p>
            <w:pPr>
              <w:widowControl/>
              <w:ind w:left="-105" w:leftChars="-50" w:right="-105" w:rightChars="-50"/>
              <w:jc w:val="center"/>
              <w:rPr>
                <w:rFonts w:ascii="Times New Roman" w:hAnsi="Times New Roman" w:cs="Times New Roman"/>
                <w:sz w:val="22"/>
              </w:rPr>
            </w:pPr>
          </w:p>
        </w:tc>
        <w:tc>
          <w:tcPr>
            <w:tcW w:w="1302" w:type="dxa"/>
            <w:vAlign w:val="center"/>
          </w:tcPr>
          <w:p>
            <w:pPr>
              <w:widowControl/>
              <w:jc w:val="center"/>
              <w:rPr>
                <w:rFonts w:ascii="Times New Roman" w:hAnsi="Times New Roman" w:eastAsia="等线" w:cs="Times New Roman"/>
                <w:color w:val="000000"/>
                <w:kern w:val="0"/>
                <w:sz w:val="22"/>
              </w:rPr>
            </w:pPr>
            <w:r>
              <w:rPr>
                <w:rFonts w:ascii="Times New Roman" w:hAnsi="Times New Roman" w:eastAsia="等线" w:cs="Times New Roman"/>
                <w:color w:val="000000"/>
                <w:sz w:val="22"/>
              </w:rPr>
              <w:t>50210123005</w:t>
            </w:r>
          </w:p>
        </w:tc>
        <w:tc>
          <w:tcPr>
            <w:tcW w:w="1334" w:type="dxa"/>
            <w:vAlign w:val="center"/>
          </w:tcPr>
          <w:p>
            <w:pPr>
              <w:widowControl/>
              <w:jc w:val="center"/>
              <w:rPr>
                <w:kern w:val="0"/>
                <w:sz w:val="22"/>
                <w:szCs w:val="24"/>
              </w:rPr>
            </w:pPr>
            <w:r>
              <w:rPr>
                <w:rFonts w:hint="eastAsia"/>
                <w:kern w:val="0"/>
                <w:sz w:val="22"/>
                <w:szCs w:val="24"/>
              </w:rPr>
              <w:t>工程伦理学</w:t>
            </w:r>
          </w:p>
        </w:tc>
        <w:tc>
          <w:tcPr>
            <w:tcW w:w="567" w:type="dxa"/>
            <w:vAlign w:val="center"/>
          </w:tcPr>
          <w:p>
            <w:pPr>
              <w:widowControl/>
              <w:jc w:val="center"/>
              <w:rPr>
                <w:kern w:val="0"/>
                <w:sz w:val="22"/>
                <w:szCs w:val="24"/>
              </w:rPr>
            </w:pPr>
            <w:r>
              <w:rPr>
                <w:kern w:val="0"/>
                <w:sz w:val="22"/>
                <w:szCs w:val="24"/>
              </w:rPr>
              <w:t>18</w:t>
            </w:r>
          </w:p>
        </w:tc>
        <w:tc>
          <w:tcPr>
            <w:tcW w:w="567" w:type="dxa"/>
            <w:vAlign w:val="center"/>
          </w:tcPr>
          <w:p>
            <w:pPr>
              <w:widowControl/>
              <w:jc w:val="center"/>
              <w:rPr>
                <w:kern w:val="0"/>
                <w:sz w:val="22"/>
                <w:szCs w:val="24"/>
              </w:rPr>
            </w:pPr>
          </w:p>
        </w:tc>
        <w:tc>
          <w:tcPr>
            <w:tcW w:w="567" w:type="dxa"/>
            <w:vAlign w:val="center"/>
          </w:tcPr>
          <w:p>
            <w:pPr>
              <w:widowControl/>
              <w:jc w:val="center"/>
              <w:rPr>
                <w:kern w:val="0"/>
                <w:sz w:val="22"/>
                <w:szCs w:val="24"/>
              </w:rPr>
            </w:pPr>
            <w:r>
              <w:rPr>
                <w:kern w:val="0"/>
                <w:sz w:val="22"/>
                <w:szCs w:val="24"/>
              </w:rPr>
              <w:t>1</w:t>
            </w:r>
          </w:p>
        </w:tc>
        <w:tc>
          <w:tcPr>
            <w:tcW w:w="708" w:type="dxa"/>
            <w:vAlign w:val="center"/>
          </w:tcPr>
          <w:p>
            <w:pPr>
              <w:widowControl/>
              <w:jc w:val="center"/>
              <w:rPr>
                <w:kern w:val="0"/>
                <w:sz w:val="22"/>
                <w:szCs w:val="24"/>
              </w:rPr>
            </w:pPr>
            <w:r>
              <w:rPr>
                <w:kern w:val="0"/>
                <w:sz w:val="22"/>
                <w:szCs w:val="24"/>
              </w:rPr>
              <w:t>1</w:t>
            </w:r>
          </w:p>
        </w:tc>
        <w:tc>
          <w:tcPr>
            <w:tcW w:w="1134" w:type="dxa"/>
            <w:vAlign w:val="center"/>
          </w:tcPr>
          <w:p>
            <w:pPr>
              <w:widowControl/>
              <w:jc w:val="center"/>
              <w:rPr>
                <w:kern w:val="0"/>
                <w:sz w:val="22"/>
                <w:szCs w:val="24"/>
              </w:rPr>
            </w:pPr>
            <w:r>
              <w:rPr>
                <w:rFonts w:hint="eastAsia"/>
                <w:kern w:val="0"/>
                <w:sz w:val="22"/>
                <w:szCs w:val="24"/>
              </w:rPr>
              <w:t>马克思</w:t>
            </w:r>
          </w:p>
          <w:p>
            <w:pPr>
              <w:widowControl/>
              <w:jc w:val="center"/>
              <w:rPr>
                <w:kern w:val="0"/>
                <w:sz w:val="22"/>
                <w:szCs w:val="24"/>
              </w:rPr>
            </w:pPr>
            <w:r>
              <w:rPr>
                <w:rFonts w:hint="eastAsia"/>
                <w:kern w:val="0"/>
                <w:sz w:val="22"/>
                <w:szCs w:val="24"/>
              </w:rPr>
              <w:t>主义学院</w:t>
            </w:r>
          </w:p>
        </w:tc>
        <w:tc>
          <w:tcPr>
            <w:tcW w:w="679" w:type="dxa"/>
            <w:vAlign w:val="center"/>
          </w:tcPr>
          <w:p>
            <w:pPr>
              <w:ind w:left="-105" w:leftChars="-50" w:right="-105" w:rightChars="-50"/>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restart"/>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专业</w:t>
            </w:r>
          </w:p>
          <w:p>
            <w:pPr>
              <w:ind w:left="-105" w:leftChars="-50" w:right="-105" w:rightChars="-50"/>
              <w:jc w:val="center"/>
              <w:rPr>
                <w:rFonts w:ascii="Times New Roman" w:hAnsi="Times New Roman" w:cs="Times New Roman"/>
                <w:sz w:val="22"/>
              </w:rPr>
            </w:pPr>
            <w:r>
              <w:rPr>
                <w:rFonts w:ascii="Times New Roman" w:hAnsi="Times New Roman" w:cs="Times New Roman"/>
                <w:sz w:val="22"/>
              </w:rPr>
              <w:t>学位课</w:t>
            </w:r>
          </w:p>
          <w:p>
            <w:pPr>
              <w:ind w:left="-105" w:leftChars="-50" w:right="-105" w:rightChars="-50"/>
              <w:jc w:val="center"/>
              <w:rPr>
                <w:rFonts w:ascii="Times New Roman" w:hAnsi="Times New Roman" w:cs="Times New Roman"/>
                <w:sz w:val="22"/>
              </w:rPr>
            </w:pPr>
            <w:r>
              <w:rPr>
                <w:rFonts w:ascii="Times New Roman" w:hAnsi="Times New Roman" w:cs="Times New Roman"/>
                <w:sz w:val="22"/>
              </w:rPr>
              <w:t xml:space="preserve">（16学分） </w:t>
            </w:r>
          </w:p>
          <w:p>
            <w:pPr>
              <w:ind w:left="-105" w:leftChars="-50" w:right="-105" w:rightChars="-50"/>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40090223007</w:t>
            </w:r>
          </w:p>
        </w:tc>
        <w:tc>
          <w:tcPr>
            <w:tcW w:w="13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建筑与城市设计I</w:t>
            </w: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54</w:t>
            </w: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3</w:t>
            </w:r>
          </w:p>
        </w:tc>
        <w:tc>
          <w:tcPr>
            <w:tcW w:w="708"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continue"/>
            <w:vAlign w:val="center"/>
          </w:tcPr>
          <w:p>
            <w:pPr>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50090223017</w:t>
            </w:r>
          </w:p>
        </w:tc>
        <w:tc>
          <w:tcPr>
            <w:tcW w:w="13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建筑与城市设计II</w:t>
            </w: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54</w:t>
            </w: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3</w:t>
            </w:r>
          </w:p>
        </w:tc>
        <w:tc>
          <w:tcPr>
            <w:tcW w:w="708"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continue"/>
            <w:vAlign w:val="center"/>
          </w:tcPr>
          <w:p>
            <w:pPr>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40090223006</w:t>
            </w:r>
          </w:p>
        </w:tc>
        <w:tc>
          <w:tcPr>
            <w:tcW w:w="13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建筑与城市设计III</w:t>
            </w: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pPr>
              <w:ind w:left="-105" w:leftChars="-50" w:right="-105" w:rightChars="-50"/>
              <w:jc w:val="center"/>
              <w:rPr>
                <w:rFonts w:ascii="Times New Roman" w:hAnsi="Times New Roman" w:cs="Times New Roman"/>
                <w:sz w:val="22"/>
              </w:rPr>
            </w:pPr>
            <w:r>
              <w:rPr>
                <w:rFonts w:hint="eastAsia" w:ascii="Times New Roman" w:hAnsi="Times New Roman" w:cs="Times New Roman"/>
                <w:sz w:val="22"/>
              </w:rPr>
              <w:t>2</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continue"/>
            <w:vAlign w:val="center"/>
          </w:tcPr>
          <w:p>
            <w:pPr>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400902</w:t>
            </w:r>
            <w:r>
              <w:rPr>
                <w:kern w:val="0"/>
                <w:sz w:val="22"/>
              </w:rPr>
              <w:t>24</w:t>
            </w:r>
            <w:r>
              <w:rPr>
                <w:rFonts w:hint="eastAsia"/>
                <w:kern w:val="0"/>
                <w:sz w:val="22"/>
              </w:rPr>
              <w:t>00</w:t>
            </w:r>
            <w:r>
              <w:rPr>
                <w:kern w:val="0"/>
                <w:sz w:val="22"/>
              </w:rPr>
              <w:t>1</w:t>
            </w:r>
          </w:p>
        </w:tc>
        <w:tc>
          <w:tcPr>
            <w:tcW w:w="13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建筑历史与理论专题</w:t>
            </w: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continue"/>
            <w:vAlign w:val="center"/>
          </w:tcPr>
          <w:p>
            <w:pPr>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50090223004</w:t>
            </w:r>
          </w:p>
        </w:tc>
        <w:tc>
          <w:tcPr>
            <w:tcW w:w="13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 xml:space="preserve">现代建筑理论 </w:t>
            </w: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continue"/>
            <w:vAlign w:val="center"/>
          </w:tcPr>
          <w:p>
            <w:pPr>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40090223009</w:t>
            </w:r>
          </w:p>
        </w:tc>
        <w:tc>
          <w:tcPr>
            <w:tcW w:w="13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建筑技术科学前沿</w:t>
            </w: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continue"/>
            <w:vAlign w:val="center"/>
          </w:tcPr>
          <w:p>
            <w:pPr>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50090223024</w:t>
            </w:r>
          </w:p>
        </w:tc>
        <w:tc>
          <w:tcPr>
            <w:tcW w:w="13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低碳城市与健康环境</w:t>
            </w: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continue"/>
            <w:vAlign w:val="center"/>
          </w:tcPr>
          <w:p>
            <w:pPr>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40090323037</w:t>
            </w:r>
          </w:p>
        </w:tc>
        <w:tc>
          <w:tcPr>
            <w:tcW w:w="13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 xml:space="preserve">建筑策划与使用后评估 </w:t>
            </w: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Align w:val="center"/>
          </w:tcPr>
          <w:p>
            <w:pPr>
              <w:ind w:left="-105" w:leftChars="-50" w:right="-105" w:rightChars="-50"/>
              <w:jc w:val="center"/>
              <w:rPr>
                <w:rFonts w:ascii="Times New Roman" w:hAnsi="Times New Roman" w:cs="Times New Roman"/>
                <w:sz w:val="22"/>
              </w:rPr>
            </w:pPr>
          </w:p>
          <w:p>
            <w:pPr>
              <w:ind w:left="-105" w:leftChars="-50" w:right="-105" w:rightChars="-50"/>
              <w:jc w:val="center"/>
              <w:rPr>
                <w:rFonts w:ascii="Times New Roman" w:hAnsi="Times New Roman" w:cs="Times New Roman"/>
                <w:sz w:val="22"/>
              </w:rPr>
            </w:pPr>
            <w:r>
              <w:rPr>
                <w:rFonts w:ascii="Times New Roman" w:hAnsi="Times New Roman" w:cs="Times New Roman"/>
                <w:sz w:val="22"/>
              </w:rPr>
              <w:t>选修课</w:t>
            </w:r>
          </w:p>
          <w:p>
            <w:pPr>
              <w:ind w:left="-105" w:leftChars="-50" w:right="-105" w:rightChars="-50"/>
              <w:jc w:val="center"/>
              <w:rPr>
                <w:rFonts w:ascii="Times New Roman" w:hAnsi="Times New Roman" w:cs="Times New Roman"/>
                <w:sz w:val="22"/>
              </w:rPr>
            </w:pPr>
            <w:r>
              <w:rPr>
                <w:rFonts w:ascii="Times New Roman" w:hAnsi="Times New Roman" w:cs="Times New Roman"/>
                <w:sz w:val="22"/>
              </w:rPr>
              <w:t>（10学</w:t>
            </w:r>
          </w:p>
          <w:p>
            <w:pPr>
              <w:ind w:left="-105" w:leftChars="-50" w:right="-105" w:rightChars="-50"/>
              <w:jc w:val="center"/>
              <w:rPr>
                <w:rFonts w:ascii="Times New Roman" w:hAnsi="Times New Roman" w:cs="Times New Roman"/>
                <w:sz w:val="22"/>
              </w:rPr>
            </w:pPr>
            <w:r>
              <w:rPr>
                <w:rFonts w:ascii="Times New Roman" w:hAnsi="Times New Roman" w:cs="Times New Roman"/>
                <w:sz w:val="22"/>
              </w:rPr>
              <w:t>分）</w:t>
            </w:r>
          </w:p>
          <w:p>
            <w:pPr>
              <w:ind w:left="-105" w:leftChars="-50" w:right="-105" w:rightChars="-50"/>
              <w:jc w:val="center"/>
              <w:rPr>
                <w:rFonts w:ascii="Times New Roman" w:hAnsi="Times New Roman" w:cs="Times New Roman"/>
                <w:sz w:val="22"/>
              </w:rPr>
            </w:pPr>
          </w:p>
        </w:tc>
        <w:tc>
          <w:tcPr>
            <w:tcW w:w="6858" w:type="dxa"/>
            <w:gridSpan w:val="8"/>
            <w:vAlign w:val="center"/>
          </w:tcPr>
          <w:p>
            <w:pPr>
              <w:jc w:val="center"/>
              <w:rPr>
                <w:kern w:val="0"/>
                <w:sz w:val="22"/>
              </w:rPr>
            </w:pPr>
            <w:r>
              <w:rPr>
                <w:rFonts w:hint="eastAsia"/>
                <w:kern w:val="0"/>
                <w:sz w:val="22"/>
              </w:rPr>
              <w:t>可任意选修各学院开设的研究生课程、本科生课程（</w:t>
            </w:r>
            <w:r>
              <w:rPr>
                <w:kern w:val="0"/>
                <w:sz w:val="22"/>
              </w:rPr>
              <w:t>具体课程</w:t>
            </w:r>
            <w:r>
              <w:rPr>
                <w:rFonts w:hint="eastAsia"/>
                <w:kern w:val="0"/>
                <w:sz w:val="22"/>
              </w:rPr>
              <w:t>清单</w:t>
            </w:r>
            <w:r>
              <w:rPr>
                <w:kern w:val="0"/>
                <w:sz w:val="22"/>
              </w:rPr>
              <w:t>见</w:t>
            </w:r>
            <w:r>
              <w:rPr>
                <w:rFonts w:hint="eastAsia"/>
                <w:kern w:val="0"/>
                <w:sz w:val="22"/>
              </w:rPr>
              <w:t>附件，选修本科生课程不计入总学分），至少含专业外语、</w:t>
            </w:r>
            <w:r>
              <w:rPr>
                <w:kern w:val="0"/>
                <w:sz w:val="22"/>
              </w:rPr>
              <w:t>1门</w:t>
            </w:r>
            <w:r>
              <w:rPr>
                <w:rFonts w:hint="eastAsia"/>
                <w:kern w:val="0"/>
                <w:sz w:val="22"/>
              </w:rPr>
              <w:t>文史哲艺美类课程。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restart"/>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必修</w:t>
            </w:r>
          </w:p>
          <w:p>
            <w:pPr>
              <w:ind w:left="-105" w:leftChars="-50" w:right="-105" w:rightChars="-50"/>
              <w:jc w:val="center"/>
              <w:rPr>
                <w:rFonts w:ascii="Times New Roman" w:hAnsi="Times New Roman" w:cs="Times New Roman"/>
                <w:sz w:val="22"/>
              </w:rPr>
            </w:pPr>
            <w:r>
              <w:rPr>
                <w:rFonts w:ascii="Times New Roman" w:hAnsi="Times New Roman" w:cs="Times New Roman"/>
                <w:sz w:val="22"/>
              </w:rPr>
              <w:t>环节</w:t>
            </w:r>
          </w:p>
          <w:p>
            <w:pPr>
              <w:ind w:left="-105" w:leftChars="-50" w:right="-105" w:rightChars="-50"/>
              <w:jc w:val="center"/>
              <w:rPr>
                <w:rFonts w:ascii="Times New Roman" w:hAnsi="Times New Roman" w:cs="Times New Roman"/>
                <w:sz w:val="22"/>
              </w:rPr>
            </w:pPr>
            <w:r>
              <w:rPr>
                <w:rFonts w:ascii="Times New Roman" w:hAnsi="Times New Roman" w:cs="Times New Roman"/>
                <w:sz w:val="22"/>
              </w:rPr>
              <w:t>（7学分）</w:t>
            </w:r>
          </w:p>
        </w:tc>
        <w:tc>
          <w:tcPr>
            <w:tcW w:w="1302" w:type="dxa"/>
            <w:vAlign w:val="center"/>
          </w:tcPr>
          <w:p>
            <w:pPr>
              <w:jc w:val="center"/>
              <w:rPr>
                <w:kern w:val="0"/>
                <w:sz w:val="22"/>
              </w:rPr>
            </w:pPr>
            <w:r>
              <w:rPr>
                <w:rFonts w:hint="eastAsia"/>
                <w:kern w:val="0"/>
                <w:sz w:val="22"/>
              </w:rPr>
              <w:t>50090623001</w:t>
            </w:r>
          </w:p>
        </w:tc>
        <w:tc>
          <w:tcPr>
            <w:tcW w:w="1334" w:type="dxa"/>
            <w:vAlign w:val="center"/>
          </w:tcPr>
          <w:p>
            <w:pPr>
              <w:ind w:left="-105" w:leftChars="-50" w:right="-105" w:rightChars="-50"/>
              <w:jc w:val="center"/>
              <w:rPr>
                <w:rFonts w:ascii="Times New Roman" w:hAnsi="Times New Roman" w:cs="Times New Roman"/>
                <w:sz w:val="22"/>
              </w:rPr>
            </w:pPr>
            <w:r>
              <w:rPr>
                <w:rFonts w:hint="eastAsia" w:ascii="Times New Roman" w:hAnsi="Times New Roman" w:cs="Times New Roman"/>
                <w:sz w:val="22"/>
              </w:rPr>
              <w:t>专硕</w:t>
            </w:r>
            <w:r>
              <w:rPr>
                <w:rFonts w:ascii="Times New Roman" w:hAnsi="Times New Roman" w:cs="Times New Roman"/>
                <w:sz w:val="22"/>
              </w:rPr>
              <w:t>选题报告及中期考核</w:t>
            </w: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p>
        </w:tc>
        <w:tc>
          <w:tcPr>
            <w:tcW w:w="567"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4</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continue"/>
            <w:vAlign w:val="center"/>
          </w:tcPr>
          <w:p>
            <w:pPr>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50090623002</w:t>
            </w:r>
          </w:p>
        </w:tc>
        <w:tc>
          <w:tcPr>
            <w:tcW w:w="1334" w:type="dxa"/>
            <w:vAlign w:val="center"/>
          </w:tcPr>
          <w:p>
            <w:pPr>
              <w:widowControl/>
              <w:jc w:val="center"/>
              <w:rPr>
                <w:rFonts w:ascii="Times New Roman" w:hAnsi="Times New Roman" w:cs="Times New Roman"/>
                <w:kern w:val="0"/>
                <w:sz w:val="22"/>
              </w:rPr>
            </w:pPr>
            <w:r>
              <w:rPr>
                <w:rFonts w:hint="eastAsia" w:ascii="Times New Roman" w:hAnsi="Times New Roman" w:cs="Times New Roman"/>
                <w:kern w:val="0"/>
                <w:sz w:val="22"/>
              </w:rPr>
              <w:t>专硕</w:t>
            </w:r>
            <w:r>
              <w:rPr>
                <w:rFonts w:ascii="Times New Roman" w:hAnsi="Times New Roman" w:cs="Times New Roman"/>
                <w:kern w:val="0"/>
                <w:sz w:val="22"/>
              </w:rPr>
              <w:t>课程实践</w:t>
            </w:r>
          </w:p>
        </w:tc>
        <w:tc>
          <w:tcPr>
            <w:tcW w:w="567" w:type="dxa"/>
            <w:vAlign w:val="center"/>
          </w:tcPr>
          <w:p>
            <w:pPr>
              <w:widowControl/>
              <w:jc w:val="center"/>
              <w:rPr>
                <w:rFonts w:ascii="Times New Roman" w:hAnsi="Times New Roman" w:cs="Times New Roman"/>
                <w:kern w:val="0"/>
                <w:sz w:val="22"/>
              </w:rPr>
            </w:pPr>
          </w:p>
        </w:tc>
        <w:tc>
          <w:tcPr>
            <w:tcW w:w="567" w:type="dxa"/>
            <w:vAlign w:val="center"/>
          </w:tcPr>
          <w:p>
            <w:pPr>
              <w:widowControl/>
              <w:jc w:val="center"/>
              <w:rPr>
                <w:rFonts w:ascii="Times New Roman" w:hAnsi="Times New Roman" w:cs="Times New Roman"/>
                <w:kern w:val="0"/>
                <w:sz w:val="22"/>
              </w:rPr>
            </w:pPr>
          </w:p>
        </w:tc>
        <w:tc>
          <w:tcPr>
            <w:tcW w:w="567" w:type="dxa"/>
            <w:vAlign w:val="center"/>
          </w:tcPr>
          <w:p>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708" w:type="dxa"/>
            <w:vAlign w:val="center"/>
          </w:tcPr>
          <w:p>
            <w:pPr>
              <w:widowControl/>
              <w:jc w:val="center"/>
              <w:rPr>
                <w:rFonts w:ascii="Times New Roman" w:hAnsi="Times New Roman" w:cs="Times New Roman"/>
                <w:kern w:val="0"/>
                <w:sz w:val="22"/>
              </w:rPr>
            </w:pPr>
            <w:r>
              <w:rPr>
                <w:rFonts w:ascii="Times New Roman" w:hAnsi="Times New Roman" w:cs="Times New Roman"/>
                <w:kern w:val="0"/>
                <w:sz w:val="22"/>
              </w:rPr>
              <w:t>1-5</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54" w:type="dxa"/>
            <w:gridSpan w:val="2"/>
            <w:vMerge w:val="continue"/>
            <w:vAlign w:val="center"/>
          </w:tcPr>
          <w:p>
            <w:pPr>
              <w:ind w:left="-105" w:leftChars="-50" w:right="-105" w:rightChars="-50"/>
              <w:jc w:val="center"/>
              <w:rPr>
                <w:rFonts w:ascii="Times New Roman" w:hAnsi="Times New Roman" w:cs="Times New Roman"/>
                <w:sz w:val="22"/>
              </w:rPr>
            </w:pPr>
          </w:p>
        </w:tc>
        <w:tc>
          <w:tcPr>
            <w:tcW w:w="1302" w:type="dxa"/>
            <w:vAlign w:val="center"/>
          </w:tcPr>
          <w:p>
            <w:pPr>
              <w:jc w:val="center"/>
              <w:rPr>
                <w:kern w:val="0"/>
                <w:sz w:val="22"/>
              </w:rPr>
            </w:pPr>
            <w:r>
              <w:rPr>
                <w:rFonts w:hint="eastAsia"/>
                <w:kern w:val="0"/>
                <w:sz w:val="22"/>
              </w:rPr>
              <w:t>5009062300</w:t>
            </w:r>
            <w:r>
              <w:rPr>
                <w:kern w:val="0"/>
                <w:sz w:val="22"/>
              </w:rPr>
              <w:t>3</w:t>
            </w:r>
          </w:p>
        </w:tc>
        <w:tc>
          <w:tcPr>
            <w:tcW w:w="1334" w:type="dxa"/>
            <w:vAlign w:val="center"/>
          </w:tcPr>
          <w:p>
            <w:pPr>
              <w:widowControl/>
              <w:jc w:val="center"/>
              <w:rPr>
                <w:rFonts w:ascii="Times New Roman" w:hAnsi="Times New Roman" w:cs="Times New Roman"/>
                <w:kern w:val="0"/>
                <w:sz w:val="22"/>
              </w:rPr>
            </w:pPr>
            <w:r>
              <w:rPr>
                <w:rFonts w:hint="eastAsia" w:ascii="Times New Roman" w:hAnsi="Times New Roman" w:cs="Times New Roman"/>
                <w:kern w:val="0"/>
                <w:sz w:val="22"/>
              </w:rPr>
              <w:t>专硕</w:t>
            </w:r>
            <w:r>
              <w:rPr>
                <w:rFonts w:ascii="Times New Roman" w:hAnsi="Times New Roman" w:cs="Times New Roman"/>
                <w:kern w:val="0"/>
                <w:sz w:val="22"/>
              </w:rPr>
              <w:t>综合实践</w:t>
            </w:r>
          </w:p>
        </w:tc>
        <w:tc>
          <w:tcPr>
            <w:tcW w:w="567" w:type="dxa"/>
            <w:vAlign w:val="center"/>
          </w:tcPr>
          <w:p>
            <w:pPr>
              <w:widowControl/>
              <w:jc w:val="center"/>
              <w:rPr>
                <w:rFonts w:ascii="Times New Roman" w:hAnsi="Times New Roman" w:cs="Times New Roman"/>
                <w:kern w:val="0"/>
                <w:sz w:val="22"/>
              </w:rPr>
            </w:pPr>
          </w:p>
        </w:tc>
        <w:tc>
          <w:tcPr>
            <w:tcW w:w="567" w:type="dxa"/>
            <w:vAlign w:val="center"/>
          </w:tcPr>
          <w:p>
            <w:pPr>
              <w:widowControl/>
              <w:jc w:val="center"/>
              <w:rPr>
                <w:rFonts w:ascii="Times New Roman" w:hAnsi="Times New Roman" w:cs="Times New Roman"/>
                <w:kern w:val="0"/>
                <w:sz w:val="22"/>
              </w:rPr>
            </w:pPr>
          </w:p>
        </w:tc>
        <w:tc>
          <w:tcPr>
            <w:tcW w:w="567" w:type="dxa"/>
            <w:vAlign w:val="center"/>
          </w:tcPr>
          <w:p>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708" w:type="dxa"/>
            <w:vAlign w:val="center"/>
          </w:tcPr>
          <w:p>
            <w:pPr>
              <w:widowControl/>
              <w:jc w:val="center"/>
              <w:rPr>
                <w:rFonts w:ascii="Times New Roman" w:hAnsi="Times New Roman" w:cs="Times New Roman"/>
                <w:kern w:val="0"/>
                <w:sz w:val="22"/>
              </w:rPr>
            </w:pPr>
            <w:r>
              <w:rPr>
                <w:rFonts w:ascii="Times New Roman" w:hAnsi="Times New Roman" w:cs="Times New Roman"/>
                <w:kern w:val="0"/>
                <w:sz w:val="22"/>
              </w:rPr>
              <w:t>3-4</w:t>
            </w:r>
          </w:p>
        </w:tc>
        <w:tc>
          <w:tcPr>
            <w:tcW w:w="1134" w:type="dxa"/>
            <w:vAlign w:val="center"/>
          </w:tcPr>
          <w:p>
            <w:pPr>
              <w:ind w:left="-105" w:leftChars="-50" w:right="-105" w:rightChars="-50"/>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pPr>
              <w:ind w:left="-105" w:leftChars="-50" w:right="-105" w:rightChars="-50"/>
              <w:jc w:val="center"/>
              <w:rPr>
                <w:rFonts w:ascii="Times New Roman" w:hAnsi="Times New Roman" w:cs="Times New Roman"/>
                <w:sz w:val="22"/>
              </w:rPr>
            </w:pPr>
          </w:p>
        </w:tc>
      </w:tr>
    </w:tbl>
    <w:p>
      <w:pPr>
        <w:pStyle w:val="2"/>
        <w:spacing w:before="156" w:after="156"/>
        <w:rPr>
          <w:bCs w:val="0"/>
        </w:rPr>
      </w:pPr>
      <w:bookmarkStart w:id="21" w:name="_Toc454902491"/>
      <w:bookmarkStart w:id="22" w:name="_Toc455392350"/>
      <w:r>
        <w:rPr>
          <w:rFonts w:hint="eastAsia"/>
        </w:rPr>
        <w:t>五、必修环节</w:t>
      </w:r>
      <w:bookmarkEnd w:id="21"/>
      <w:bookmarkEnd w:id="22"/>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（一）专业实践</w:t>
      </w:r>
    </w:p>
    <w:p>
      <w:pPr>
        <w:spacing w:line="400" w:lineRule="exact"/>
        <w:ind w:firstLine="480" w:firstLineChars="200"/>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rPr>
        <w:t>建筑学硕士专业学位</w:t>
      </w:r>
      <w:r>
        <w:rPr>
          <w:rFonts w:ascii="Times New Roman" w:hAnsi="Times New Roman" w:eastAsia="宋体" w:cs="Times New Roman"/>
          <w:sz w:val="24"/>
          <w:szCs w:val="24"/>
        </w:rPr>
        <w:t>研究生在学期间，必须保证不少于半年的</w:t>
      </w:r>
      <w:r>
        <w:rPr>
          <w:rFonts w:hint="eastAsia" w:ascii="Times New Roman" w:hAnsi="Times New Roman" w:eastAsia="宋体" w:cs="Times New Roman"/>
          <w:sz w:val="24"/>
          <w:szCs w:val="24"/>
        </w:rPr>
        <w:t>专业</w:t>
      </w:r>
      <w:r>
        <w:rPr>
          <w:rFonts w:ascii="Times New Roman" w:hAnsi="Times New Roman" w:eastAsia="宋体" w:cs="Times New Roman"/>
          <w:sz w:val="24"/>
          <w:szCs w:val="24"/>
        </w:rPr>
        <w:t>实践，可采用集中实践与分段实践相结合的方式，应届本科毕业生的实践教学时间原则上不少于1年。一般依托本专业领域的</w:t>
      </w:r>
      <w:r>
        <w:rPr>
          <w:rFonts w:hint="eastAsia" w:ascii="Times New Roman" w:hAnsi="Times New Roman" w:eastAsia="宋体" w:cs="Times New Roman"/>
          <w:sz w:val="24"/>
          <w:szCs w:val="24"/>
        </w:rPr>
        <w:t>国家级研究生联合培养示范基地，省级</w:t>
      </w:r>
      <w:r>
        <w:rPr>
          <w:rFonts w:ascii="Times New Roman" w:hAnsi="Times New Roman" w:eastAsia="宋体" w:cs="Times New Roman"/>
          <w:sz w:val="24"/>
          <w:szCs w:val="24"/>
        </w:rPr>
        <w:t>、</w:t>
      </w:r>
      <w:r>
        <w:rPr>
          <w:rFonts w:hint="eastAsia" w:ascii="Times New Roman" w:hAnsi="Times New Roman" w:eastAsia="宋体" w:cs="Times New Roman"/>
          <w:sz w:val="24"/>
          <w:szCs w:val="24"/>
        </w:rPr>
        <w:t>校级</w:t>
      </w:r>
      <w:r>
        <w:rPr>
          <w:rFonts w:ascii="Times New Roman" w:hAnsi="Times New Roman" w:eastAsia="宋体" w:cs="Times New Roman"/>
          <w:sz w:val="24"/>
          <w:szCs w:val="24"/>
        </w:rPr>
        <w:t>、院级、培育</w:t>
      </w:r>
      <w:r>
        <w:rPr>
          <w:rFonts w:hint="eastAsia" w:ascii="Times New Roman" w:hAnsi="Times New Roman" w:eastAsia="宋体" w:cs="Times New Roman"/>
          <w:sz w:val="24"/>
          <w:szCs w:val="24"/>
        </w:rPr>
        <w:t>级</w:t>
      </w:r>
      <w:r>
        <w:rPr>
          <w:rFonts w:ascii="Times New Roman" w:hAnsi="Times New Roman" w:eastAsia="宋体" w:cs="Times New Roman"/>
          <w:sz w:val="24"/>
          <w:szCs w:val="24"/>
        </w:rPr>
        <w:t>研究生工作站，海南研究院、仙湖实验室、襄阳示范区等完成</w:t>
      </w:r>
      <w:r>
        <w:rPr>
          <w:rFonts w:hint="eastAsia" w:ascii="Times New Roman" w:hAnsi="Times New Roman" w:eastAsia="宋体" w:cs="Times New Roman"/>
          <w:sz w:val="24"/>
          <w:szCs w:val="24"/>
        </w:rPr>
        <w:t>。</w:t>
      </w:r>
    </w:p>
    <w:p>
      <w:pPr>
        <w:spacing w:line="400" w:lineRule="exact"/>
        <w:ind w:firstLine="484" w:firstLineChars="200"/>
        <w:textAlignment w:val="baseline"/>
        <w:rPr>
          <w:rFonts w:ascii="Times New Roman" w:hAnsi="Times New Roman" w:eastAsia="宋体" w:cs="Times New Roman"/>
          <w:kern w:val="0"/>
          <w:sz w:val="24"/>
          <w:szCs w:val="24"/>
        </w:rPr>
      </w:pPr>
      <w:r>
        <w:rPr>
          <w:rFonts w:ascii="Times New Roman" w:hAnsi="Times New Roman" w:eastAsia="宋体" w:cs="Times New Roman"/>
          <w:bCs/>
          <w:spacing w:val="1"/>
          <w:sz w:val="24"/>
          <w:szCs w:val="24"/>
        </w:rPr>
        <w:t>专业学位硕士研究生</w:t>
      </w:r>
      <w:r>
        <w:rPr>
          <w:rFonts w:ascii="Times New Roman" w:hAnsi="Times New Roman" w:eastAsia="宋体" w:cs="Times New Roman"/>
          <w:spacing w:val="1"/>
          <w:sz w:val="24"/>
          <w:szCs w:val="24"/>
        </w:rPr>
        <w:t>的</w:t>
      </w:r>
      <w:r>
        <w:rPr>
          <w:rFonts w:hint="eastAsia" w:ascii="Times New Roman" w:hAnsi="Times New Roman" w:eastAsia="宋体" w:cs="Times New Roman"/>
          <w:sz w:val="24"/>
          <w:szCs w:val="24"/>
        </w:rPr>
        <w:t>专业实践</w:t>
      </w:r>
      <w:r>
        <w:rPr>
          <w:rFonts w:ascii="Times New Roman" w:hAnsi="Times New Roman" w:eastAsia="宋体" w:cs="Times New Roman"/>
          <w:sz w:val="24"/>
          <w:szCs w:val="24"/>
        </w:rPr>
        <w:t>一般分为课程实践和</w:t>
      </w:r>
      <w:r>
        <w:rPr>
          <w:rFonts w:ascii="Times New Roman" w:hAnsi="Times New Roman" w:eastAsia="宋体" w:cs="Times New Roman"/>
          <w:kern w:val="0"/>
          <w:sz w:val="24"/>
          <w:szCs w:val="24"/>
        </w:rPr>
        <w:t>综合实践两部分。</w:t>
      </w:r>
    </w:p>
    <w:p>
      <w:pPr>
        <w:spacing w:line="400" w:lineRule="exact"/>
        <w:ind w:firstLine="480" w:firstLineChars="200"/>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rPr>
        <w:t>课程实践主要进行专业课程实践和科研技能训练，其中实验室安全培训为课程实践的必修内容，</w:t>
      </w:r>
      <w:r>
        <w:rPr>
          <w:rFonts w:hint="eastAsia"/>
          <w:sz w:val="24"/>
          <w:highlight w:val="red"/>
        </w:rPr>
        <w:t>重视全国学科评估对于本学科的特殊要求，发挥建筑学服务社会的重要作用</w:t>
      </w:r>
      <w:r>
        <w:rPr>
          <w:sz w:val="24"/>
          <w:highlight w:val="red"/>
        </w:rPr>
        <w:t>，鼓励研究生</w:t>
      </w:r>
      <w:r>
        <w:rPr>
          <w:rFonts w:hint="eastAsia"/>
          <w:sz w:val="24"/>
          <w:highlight w:val="red"/>
        </w:rPr>
        <w:t>参与导师在学校和本校设计院主持的规划和建筑设计与研究项目</w:t>
      </w:r>
      <w:r>
        <w:rPr>
          <w:sz w:val="24"/>
          <w:highlight w:val="red"/>
        </w:rPr>
        <w:t>，提高研究生</w:t>
      </w:r>
      <w:r>
        <w:rPr>
          <w:rFonts w:hint="eastAsia"/>
          <w:sz w:val="24"/>
          <w:highlight w:val="red"/>
        </w:rPr>
        <w:t>专业核心</w:t>
      </w:r>
      <w:r>
        <w:rPr>
          <w:sz w:val="24"/>
          <w:highlight w:val="red"/>
        </w:rPr>
        <w:t>技能。</w:t>
      </w:r>
      <w:r>
        <w:rPr>
          <w:rFonts w:hint="eastAsia"/>
          <w:sz w:val="24"/>
          <w:highlight w:val="red"/>
        </w:rPr>
        <w:t>研究生在读期间，参与并完成各类规划与建筑设计与研究项目不少于2项，经导师签字、学院审核通过后记1学分</w:t>
      </w:r>
      <w:r>
        <w:rPr>
          <w:sz w:val="24"/>
          <w:highlight w:val="red"/>
        </w:rPr>
        <w:t>。</w:t>
      </w:r>
      <w:r>
        <w:rPr>
          <w:rFonts w:hint="eastAsia" w:ascii="Times New Roman" w:hAnsi="Times New Roman" w:eastAsia="宋体" w:cs="Times New Roman"/>
          <w:sz w:val="24"/>
          <w:szCs w:val="24"/>
        </w:rPr>
        <w:t>课程实践一般依托学校未来学习中心完成，课程实践合格者记3学分。</w:t>
      </w:r>
    </w:p>
    <w:p>
      <w:pPr>
        <w:spacing w:line="400" w:lineRule="exact"/>
        <w:ind w:firstLine="480" w:firstLineChars="200"/>
        <w:textAlignment w:val="baseline"/>
        <w:rPr>
          <w:rFonts w:ascii="Times New Roman" w:hAnsi="Times New Roman" w:eastAsia="宋体" w:cs="Times New Roman"/>
          <w:kern w:val="0"/>
          <w:sz w:val="24"/>
          <w:szCs w:val="24"/>
        </w:rPr>
      </w:pPr>
      <w:r>
        <w:rPr>
          <w:rFonts w:ascii="Times New Roman" w:hAnsi="Times New Roman" w:eastAsia="宋体" w:cs="Times New Roman"/>
          <w:sz w:val="24"/>
          <w:szCs w:val="24"/>
        </w:rPr>
        <w:t>综合实践</w:t>
      </w:r>
      <w:r>
        <w:rPr>
          <w:rFonts w:hint="eastAsia" w:ascii="Times New Roman" w:hAnsi="Times New Roman" w:cs="Times New Roman"/>
          <w:bCs/>
          <w:sz w:val="24"/>
        </w:rPr>
        <w:t>所依托培养单位</w:t>
      </w:r>
      <w:r>
        <w:rPr>
          <w:rFonts w:ascii="Times New Roman" w:hAnsi="Times New Roman" w:cs="Times New Roman"/>
          <w:bCs/>
          <w:sz w:val="24"/>
        </w:rPr>
        <w:t>应具有建筑设计甲级资质，导师应帮助所指导的研究生确定实践教学地点，制定实践教学计划。实习单位应有注册建筑师和副高级以上职称的人员担任实践导师。研究生在校内外导师的共同指导下，结合工程实际岗位，进行实践应用能力训练。综合实践结束后需按要求提交实践成果，经由学院审核通过后记3学分。</w:t>
      </w:r>
      <w:r>
        <w:rPr>
          <w:rFonts w:ascii="Times New Roman" w:hAnsi="Times New Roman" w:eastAsia="宋体" w:cs="Times New Roman"/>
          <w:sz w:val="24"/>
          <w:szCs w:val="24"/>
        </w:rPr>
        <w:t>课程实践和</w:t>
      </w:r>
      <w:r>
        <w:rPr>
          <w:rFonts w:hint="eastAsia" w:ascii="Times New Roman" w:hAnsi="Times New Roman" w:eastAsia="宋体" w:cs="Times New Roman"/>
          <w:sz w:val="24"/>
          <w:szCs w:val="24"/>
        </w:rPr>
        <w:t>综合</w:t>
      </w:r>
      <w:r>
        <w:rPr>
          <w:rFonts w:ascii="Times New Roman" w:hAnsi="Times New Roman" w:eastAsia="宋体" w:cs="Times New Roman"/>
          <w:sz w:val="24"/>
          <w:szCs w:val="24"/>
        </w:rPr>
        <w:t>实践也可合并进行。</w:t>
      </w:r>
    </w:p>
    <w:p>
      <w:pPr>
        <w:spacing w:line="400" w:lineRule="exact"/>
        <w:ind w:firstLine="480" w:firstLineChars="200"/>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rPr>
        <w:t>专业实践</w:t>
      </w:r>
      <w:r>
        <w:rPr>
          <w:rFonts w:ascii="Times New Roman" w:hAnsi="Times New Roman" w:eastAsia="宋体" w:cs="Times New Roman"/>
          <w:sz w:val="24"/>
          <w:szCs w:val="24"/>
        </w:rPr>
        <w:t>是专业学位硕士研究生培养过程的必备过程，研究生要提交实践计划，撰写实践总结报告。对研究生实践环节实行全过程管理和质量评价，确保实践教学质量。</w:t>
      </w:r>
    </w:p>
    <w:p>
      <w:pPr>
        <w:spacing w:line="400" w:lineRule="exact"/>
        <w:ind w:firstLine="480" w:firstLineChars="200"/>
        <w:textAlignment w:val="baseline"/>
        <w:rPr>
          <w:rFonts w:ascii="Times New Roman" w:hAnsi="Times New Roman" w:eastAsia="宋体" w:cs="Times New Roman"/>
          <w:sz w:val="24"/>
          <w:szCs w:val="24"/>
        </w:rPr>
      </w:pPr>
      <w:r>
        <w:rPr>
          <w:rFonts w:hint="eastAsia" w:ascii="宋体" w:hAnsi="宋体" w:eastAsia="宋体" w:cs="宋体"/>
          <w:sz w:val="24"/>
          <w:szCs w:val="24"/>
        </w:rPr>
        <w:t>※</w:t>
      </w:r>
      <w:r>
        <w:rPr>
          <w:rFonts w:hint="eastAsia" w:ascii="Times New Roman" w:hAnsi="Times New Roman" w:eastAsia="宋体" w:cs="Times New Roman"/>
          <w:sz w:val="24"/>
          <w:szCs w:val="24"/>
        </w:rPr>
        <w:t>定向培养</w:t>
      </w:r>
      <w:r>
        <w:rPr>
          <w:rFonts w:ascii="Times New Roman" w:hAnsi="Times New Roman" w:eastAsia="宋体" w:cs="Times New Roman"/>
          <w:sz w:val="24"/>
          <w:szCs w:val="24"/>
        </w:rPr>
        <w:t>研究生</w:t>
      </w:r>
      <w:r>
        <w:rPr>
          <w:rFonts w:hint="eastAsia" w:ascii="Times New Roman" w:hAnsi="Times New Roman" w:eastAsia="宋体" w:cs="Times New Roman"/>
          <w:sz w:val="24"/>
          <w:szCs w:val="24"/>
        </w:rPr>
        <w:t>、来华留学生</w:t>
      </w:r>
      <w:r>
        <w:rPr>
          <w:rFonts w:ascii="Times New Roman" w:hAnsi="Times New Roman" w:eastAsia="宋体" w:cs="Times New Roman"/>
          <w:sz w:val="24"/>
          <w:szCs w:val="24"/>
        </w:rPr>
        <w:t>可免修</w:t>
      </w:r>
      <w:r>
        <w:rPr>
          <w:rFonts w:hint="eastAsia" w:ascii="Times New Roman" w:hAnsi="Times New Roman" w:eastAsia="宋体" w:cs="Times New Roman"/>
          <w:sz w:val="24"/>
          <w:szCs w:val="24"/>
        </w:rPr>
        <w:t>专业实践</w:t>
      </w:r>
      <w:r>
        <w:rPr>
          <w:rFonts w:ascii="Times New Roman" w:hAnsi="Times New Roman" w:eastAsia="宋体" w:cs="Times New Roman"/>
          <w:sz w:val="24"/>
          <w:szCs w:val="24"/>
        </w:rPr>
        <w:t>，所缺学分须通过选修课程补齐。</w:t>
      </w:r>
    </w:p>
    <w:p>
      <w:pPr>
        <w:spacing w:line="400" w:lineRule="exact"/>
        <w:ind w:firstLine="480" w:firstLineChars="200"/>
        <w:textAlignment w:val="baseline"/>
        <w:rPr>
          <w:rFonts w:ascii="Times New Roman" w:hAnsi="Times New Roman" w:eastAsia="宋体" w:cs="Times New Roman"/>
          <w:sz w:val="24"/>
          <w:szCs w:val="24"/>
        </w:rPr>
      </w:pPr>
      <w:bookmarkStart w:id="23" w:name="_Toc454902494"/>
      <w:bookmarkStart w:id="24" w:name="_Toc455392353"/>
      <w:r>
        <w:rPr>
          <w:rFonts w:hint="eastAsia" w:ascii="Times New Roman" w:hAnsi="Times New Roman" w:eastAsia="宋体" w:cs="Times New Roman"/>
          <w:sz w:val="24"/>
          <w:szCs w:val="24"/>
        </w:rPr>
        <w:t>（二）选题报告</w:t>
      </w:r>
    </w:p>
    <w:p>
      <w:pPr>
        <w:spacing w:line="400" w:lineRule="exact"/>
        <w:ind w:firstLine="480" w:firstLineChars="200"/>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12个月。</w:t>
      </w:r>
    </w:p>
    <w:p>
      <w:pPr>
        <w:spacing w:line="400" w:lineRule="exact"/>
        <w:ind w:firstLine="480" w:firstLineChars="200"/>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rPr>
        <w:t>专业学位硕士研究生选题报告的具体要求，按照学校研究生开题管理有关规定要求执行。选题报告通过后记1个必修环节学分。</w:t>
      </w:r>
    </w:p>
    <w:p>
      <w:pPr>
        <w:pStyle w:val="2"/>
        <w:spacing w:before="156" w:after="156"/>
        <w:rPr>
          <w:bCs w:val="0"/>
        </w:rPr>
      </w:pPr>
      <w:r>
        <w:t>六、</w:t>
      </w:r>
      <w:bookmarkEnd w:id="23"/>
      <w:bookmarkEnd w:id="24"/>
      <w:r>
        <w:t>科学研究与学位论文</w:t>
      </w:r>
    </w:p>
    <w:p>
      <w:pPr>
        <w:spacing w:line="400" w:lineRule="exact"/>
        <w:ind w:firstLine="484" w:firstLineChars="200"/>
        <w:rPr>
          <w:rFonts w:ascii="Times New Roman" w:hAnsi="Times New Roman" w:eastAsia="宋体" w:cs="Times New Roman"/>
          <w:spacing w:val="1"/>
          <w:sz w:val="24"/>
          <w:szCs w:val="24"/>
        </w:rPr>
      </w:pPr>
      <w:bookmarkStart w:id="25" w:name="_Toc454902496"/>
      <w:bookmarkStart w:id="26" w:name="_Toc455392355"/>
      <w:r>
        <w:rPr>
          <w:rFonts w:hint="eastAsia" w:ascii="Times New Roman" w:hAnsi="Times New Roman" w:eastAsia="宋体" w:cs="Times New Roman"/>
          <w:spacing w:val="1"/>
          <w:sz w:val="24"/>
          <w:szCs w:val="24"/>
        </w:rPr>
        <w:t>（一）科学研究</w:t>
      </w:r>
    </w:p>
    <w:p>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建筑学硕士专业学位</w:t>
      </w:r>
      <w:r>
        <w:rPr>
          <w:rFonts w:ascii="Times New Roman" w:hAnsi="Times New Roman" w:eastAsia="宋体" w:cs="Times New Roman"/>
          <w:spacing w:val="1"/>
          <w:sz w:val="24"/>
          <w:szCs w:val="24"/>
        </w:rPr>
        <w:t>研究生</w:t>
      </w:r>
      <w:r>
        <w:rPr>
          <w:rFonts w:hint="eastAsia" w:ascii="Times New Roman" w:hAnsi="Times New Roman" w:eastAsia="宋体" w:cs="Times New Roman"/>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（二）学位论文</w:t>
      </w:r>
    </w:p>
    <w:p>
      <w:pPr>
        <w:spacing w:line="400" w:lineRule="exact"/>
        <w:ind w:firstLine="484" w:firstLineChars="200"/>
        <w:rPr>
          <w:bCs/>
          <w:sz w:val="24"/>
        </w:rPr>
      </w:pPr>
      <w:r>
        <w:rPr>
          <w:rFonts w:hint="eastAsia" w:ascii="Times New Roman" w:hAnsi="Times New Roman" w:eastAsia="宋体" w:cs="Times New Roman"/>
          <w:spacing w:val="1"/>
          <w:sz w:val="24"/>
          <w:szCs w:val="24"/>
        </w:rPr>
        <w:t>建筑学</w:t>
      </w:r>
      <w:r>
        <w:rPr>
          <w:rFonts w:hint="eastAsia"/>
          <w:sz w:val="24"/>
        </w:rPr>
        <w:t>硕士专业学位研究生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建筑学硕士专业学位研究生在硕士学位论文送审前，须满足取得学籍当年学校申请硕士学位学术成果有关规定和土木工程与建筑学院学位与研究生教育有关规定，方可送审。</w:t>
      </w:r>
    </w:p>
    <w:p>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建筑学硕士专业学位研究生在硕士学位论文答辩前，须达到学校研究生学位论文答辩管理办法有关要求，方可答辩。</w:t>
      </w:r>
    </w:p>
    <w:p>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 未尽事宜以研究生取得学籍当年武汉理工大学《研究生手册》和土木工程与建筑学院学位与研究生教育有关规定为准。</w:t>
      </w:r>
    </w:p>
    <w:p>
      <w:pPr>
        <w:pStyle w:val="2"/>
        <w:spacing w:before="156" w:after="156"/>
        <w:rPr>
          <w:bCs w:val="0"/>
        </w:rPr>
      </w:pPr>
      <w:r>
        <w:t>七、培养方式与方法</w:t>
      </w:r>
      <w:bookmarkEnd w:id="25"/>
      <w:bookmarkEnd w:id="26"/>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培养方式实行全日制和非全日制两种方式。建筑学硕士专业学位研究生按专业领域分班建制，以班级为单位组织教学。</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专业学位硕士研究生采用校内外双导师制，校外导师应为具有注册建筑师或副高级以上职称的学者和工程技术人员。培养过程以校内导师指导为主，校外导师参与实践过程、项目研究、课程与论文等多个环节的指导工作。</w:t>
      </w:r>
    </w:p>
    <w:p>
      <w:pPr>
        <w:pStyle w:val="2"/>
        <w:spacing w:before="156" w:after="156"/>
        <w:rPr>
          <w:bCs w:val="0"/>
        </w:rPr>
      </w:pPr>
      <w:bookmarkStart w:id="27" w:name="_Toc455392357"/>
      <w:bookmarkStart w:id="28" w:name="_Toc454902498"/>
      <w:r>
        <w:t>八、其他</w:t>
      </w:r>
      <w:bookmarkEnd w:id="27"/>
      <w:bookmarkEnd w:id="28"/>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（一）凡以跨学科录取的建筑学硕士专业学位研究生，均须补修设计类课程，课程要求参照全国专业学位研究生教育指导委员会相关规定执行，不计入总学分。</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（二）建筑学硕士专业学位研究生</w:t>
      </w:r>
      <w:r>
        <w:rPr>
          <w:rFonts w:hint="eastAsia" w:ascii="Times New Roman" w:hAnsi="Times New Roman" w:cs="Times New Roman"/>
          <w:bCs/>
          <w:sz w:val="24"/>
        </w:rPr>
        <w:t>开题前须修满学位课程的学分，允许研究生开题后根据论文研究需要选修部分其他课</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（三）建筑学硕士专业学位研究生在学期间应查阅本学科国内外文献40篇以上，其中外文文献不少于三分之一。</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（四）建筑学硕士专业学位研究生在课程学习阶段每月至少1次、论文工作阶段至少每月2次向指导教师汇报自己的学习和研究工作情况。</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（五）全日制、非全日制研究生适用同一培养方案。</w:t>
      </w:r>
    </w:p>
    <w:p>
      <w:pPr>
        <w:spacing w:line="400" w:lineRule="exact"/>
        <w:ind w:firstLine="480" w:firstLineChars="200"/>
        <w:rPr>
          <w:rFonts w:ascii="Times New Roman" w:hAnsi="Times New Roman" w:cs="Times New Roman"/>
          <w:bCs/>
          <w:sz w:val="24"/>
        </w:rPr>
      </w:pPr>
      <w:r>
        <w:rPr>
          <w:rFonts w:ascii="Times New Roman" w:hAnsi="Times New Roman" w:cs="Times New Roman"/>
          <w:bCs/>
          <w:sz w:val="24"/>
        </w:rPr>
        <w:t>（</w:t>
      </w:r>
      <w:r>
        <w:rPr>
          <w:rFonts w:hint="eastAsia" w:ascii="Times New Roman" w:hAnsi="Times New Roman" w:cs="Times New Roman"/>
          <w:bCs/>
          <w:sz w:val="24"/>
        </w:rPr>
        <w:t>六</w:t>
      </w:r>
      <w:r>
        <w:rPr>
          <w:rFonts w:ascii="Times New Roman" w:hAnsi="Times New Roman" w:cs="Times New Roman"/>
          <w:bCs/>
          <w:sz w:val="24"/>
        </w:rPr>
        <w:t>）本次制订培养方案从2024级建筑学硕士专业学位研究生开始执行。</w:t>
      </w:r>
    </w:p>
    <w:p/>
    <w:p/>
    <w:p/>
    <w:p/>
    <w:p/>
    <w:p/>
    <w:p/>
    <w:p/>
    <w:p/>
    <w:p/>
    <w:p/>
    <w:p/>
    <w:p/>
    <w:p/>
    <w:p/>
    <w:p/>
    <w:p/>
    <w:p/>
    <w:p/>
    <w:p/>
    <w:p/>
    <w:p/>
    <w:p/>
    <w:p/>
    <w:p/>
    <w:p/>
    <w:p/>
    <w:p/>
    <w:p/>
    <w:p/>
    <w:p/>
    <w:p/>
    <w:p/>
    <w:p/>
    <w:p/>
    <w:p>
      <w:pPr>
        <w:keepNext/>
        <w:keepLines/>
        <w:spacing w:before="312" w:beforeLines="100" w:after="312" w:afterLines="100"/>
        <w:jc w:val="center"/>
        <w:outlineLvl w:val="0"/>
        <w:rPr>
          <w:rFonts w:ascii="Times New Roman" w:hAnsi="Times New Roman" w:eastAsia="黑体" w:cs="Times New Roman"/>
          <w:b/>
          <w:kern w:val="44"/>
          <w:sz w:val="32"/>
          <w:szCs w:val="32"/>
        </w:rPr>
      </w:pPr>
      <w:r>
        <w:rPr>
          <w:rFonts w:hint="eastAsia" w:ascii="Times New Roman" w:hAnsi="Times New Roman" w:eastAsia="黑体" w:cs="Times New Roman"/>
          <w:b/>
          <w:kern w:val="44"/>
          <w:sz w:val="32"/>
          <w:szCs w:val="32"/>
        </w:rPr>
        <w:t>土木水利硕士专业学位研究生培养方案</w:t>
      </w:r>
      <w:bookmarkEnd w:id="6"/>
      <w:bookmarkEnd w:id="7"/>
    </w:p>
    <w:p>
      <w:pPr>
        <w:spacing w:after="312" w:afterLines="100" w:line="360" w:lineRule="auto"/>
        <w:jc w:val="center"/>
        <w:outlineLvl w:val="1"/>
        <w:rPr>
          <w:rFonts w:ascii="Times New Roman" w:hAnsi="Times New Roman" w:eastAsia="宋体" w:cs="Times New Roman"/>
          <w:kern w:val="0"/>
          <w:sz w:val="24"/>
          <w:szCs w:val="24"/>
        </w:rPr>
      </w:pPr>
      <w:bookmarkStart w:id="29" w:name="_Toc15638298"/>
      <w:bookmarkStart w:id="30" w:name="_Toc14713002"/>
      <w:bookmarkStart w:id="31" w:name="_Toc455393298"/>
      <w:bookmarkStart w:id="32" w:name="_Toc454902538"/>
      <w:bookmarkStart w:id="33" w:name="_Toc456781595"/>
      <w:bookmarkStart w:id="34" w:name="_Toc455392397"/>
      <w:bookmarkStart w:id="35" w:name="_Toc455392643"/>
      <w:bookmarkStart w:id="36" w:name="_Toc15154320"/>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领域代码</w:t>
      </w:r>
      <w:r>
        <w:rPr>
          <w:rFonts w:ascii="Times New Roman" w:hAnsi="Times New Roman" w:eastAsia="宋体" w:cs="Times New Roman"/>
          <w:kern w:val="0"/>
          <w:sz w:val="24"/>
          <w:szCs w:val="24"/>
        </w:rPr>
        <w:t>：0859</w:t>
      </w:r>
      <w:r>
        <w:rPr>
          <w:rFonts w:hint="eastAsia" w:ascii="Times New Roman" w:hAnsi="Times New Roman" w:eastAsia="宋体" w:cs="Times New Roman"/>
          <w:kern w:val="0"/>
          <w:sz w:val="24"/>
          <w:szCs w:val="24"/>
        </w:rPr>
        <w:t>，申请土木水利硕士专业学位适用</w:t>
      </w:r>
      <w:r>
        <w:rPr>
          <w:rFonts w:ascii="Times New Roman" w:hAnsi="Times New Roman" w:eastAsia="宋体" w:cs="Times New Roman"/>
          <w:kern w:val="0"/>
          <w:sz w:val="24"/>
          <w:szCs w:val="24"/>
        </w:rPr>
        <w:t>）</w:t>
      </w:r>
      <w:bookmarkEnd w:id="29"/>
      <w:bookmarkEnd w:id="30"/>
      <w:bookmarkEnd w:id="31"/>
      <w:bookmarkEnd w:id="32"/>
      <w:bookmarkEnd w:id="33"/>
      <w:bookmarkEnd w:id="34"/>
      <w:bookmarkEnd w:id="35"/>
      <w:bookmarkEnd w:id="36"/>
    </w:p>
    <w:p>
      <w:pPr>
        <w:keepNext/>
        <w:keepLines/>
        <w:spacing w:before="156" w:beforeLines="50" w:after="156" w:afterLines="50" w:line="400" w:lineRule="exact"/>
        <w:outlineLvl w:val="2"/>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一、培养目标</w:t>
      </w:r>
    </w:p>
    <w:p>
      <w:pPr>
        <w:spacing w:line="400" w:lineRule="exact"/>
        <w:ind w:firstLine="480" w:firstLineChars="200"/>
        <w:rPr>
          <w:bCs/>
          <w:sz w:val="24"/>
        </w:rPr>
      </w:pPr>
      <w:r>
        <w:rPr>
          <w:rFonts w:hint="eastAsia"/>
          <w:bCs/>
          <w:sz w:val="24"/>
        </w:rPr>
        <w:t>以习近平新时代中国特色社会主义思想为指导，落实立德树人根本任务，着重面向土木工程，水利工程，海洋工程，市政工程，供热、供燃气、通风及空调工程等领域的重大需求，服务交通强国、海洋强国、一带一路倡议、粤港澳大湾区建设等国家战略，瞄准世界土木水利学科领域学术前沿，培养德智体美劳五育并举，具有坚定的理想信念，掌握扎实的理论基础、系统的专业知识，了解学科前沿动态，具备独立从事土木水利领域科学研究能力，具有国际视野和专业技能的行业人才。具体要求为：</w:t>
      </w:r>
    </w:p>
    <w:p>
      <w:pPr>
        <w:spacing w:line="400" w:lineRule="exact"/>
        <w:ind w:firstLine="480" w:firstLineChars="20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spacing w:line="400" w:lineRule="exact"/>
        <w:ind w:firstLine="480" w:firstLineChars="200"/>
        <w:rPr>
          <w:bCs/>
          <w:sz w:val="24"/>
        </w:rPr>
      </w:pPr>
      <w:r>
        <w:rPr>
          <w:rFonts w:hint="eastAsia"/>
          <w:bCs/>
          <w:sz w:val="24"/>
        </w:rPr>
        <w:t>（二）掌握土木水利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pPr>
        <w:spacing w:line="400" w:lineRule="exact"/>
        <w:ind w:firstLine="480" w:firstLineChars="20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pPr>
        <w:spacing w:line="400" w:lineRule="exact"/>
        <w:ind w:firstLine="480" w:firstLineChars="200"/>
        <w:rPr>
          <w:bCs/>
          <w:sz w:val="24"/>
        </w:rPr>
      </w:pPr>
      <w:r>
        <w:rPr>
          <w:rFonts w:hint="eastAsia"/>
          <w:bCs/>
          <w:sz w:val="24"/>
        </w:rPr>
        <w:t>（四）积极结合工程实际岗位，进行专业综合实践和应用能力训练，形成良好劳动习惯。</w:t>
      </w:r>
    </w:p>
    <w:p>
      <w:pPr>
        <w:keepNext/>
        <w:keepLines/>
        <w:spacing w:before="156" w:beforeLines="50" w:after="156" w:afterLines="50" w:line="400" w:lineRule="exact"/>
        <w:outlineLvl w:val="2"/>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二、研究方向</w:t>
      </w:r>
    </w:p>
    <w:p>
      <w:pPr>
        <w:adjustRightInd w:val="0"/>
        <w:snapToGrid w:val="0"/>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（一）土木工程</w:t>
      </w:r>
    </w:p>
    <w:p>
      <w:pPr>
        <w:adjustRightInd w:val="0"/>
        <w:snapToGrid w:val="0"/>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bCs/>
          <w:kern w:val="0"/>
          <w:sz w:val="24"/>
          <w:szCs w:val="24"/>
        </w:rPr>
        <w:t>（二）</w:t>
      </w:r>
      <w:r>
        <w:rPr>
          <w:rFonts w:hint="eastAsia" w:ascii="Times New Roman" w:hAnsi="Times New Roman" w:eastAsia="宋体" w:cs="Times New Roman"/>
          <w:kern w:val="0"/>
          <w:sz w:val="24"/>
          <w:szCs w:val="24"/>
        </w:rPr>
        <w:t>市政工程</w:t>
      </w:r>
    </w:p>
    <w:p>
      <w:pPr>
        <w:adjustRightInd w:val="0"/>
        <w:snapToGrid w:val="0"/>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（三）</w:t>
      </w:r>
      <w:r>
        <w:rPr>
          <w:rFonts w:hint="eastAsia" w:ascii="Times New Roman" w:hAnsi="Times New Roman" w:eastAsia="宋体" w:cs="Times New Roman"/>
          <w:kern w:val="0"/>
          <w:sz w:val="24"/>
          <w:szCs w:val="24"/>
        </w:rPr>
        <w:t>供热、供燃气、通风及空调工程</w:t>
      </w:r>
    </w:p>
    <w:p>
      <w:pPr>
        <w:adjustRightInd w:val="0"/>
        <w:snapToGrid w:val="0"/>
        <w:spacing w:line="400" w:lineRule="exact"/>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（四）</w:t>
      </w:r>
      <w:r>
        <w:rPr>
          <w:rFonts w:hint="eastAsia" w:ascii="Times New Roman" w:hAnsi="Times New Roman" w:eastAsia="宋体" w:cs="Times New Roman"/>
          <w:kern w:val="0"/>
          <w:sz w:val="24"/>
          <w:szCs w:val="24"/>
        </w:rPr>
        <w:t>土木工程建造与管理</w:t>
      </w:r>
    </w:p>
    <w:p>
      <w:pPr>
        <w:keepNext/>
        <w:keepLines/>
        <w:spacing w:before="156" w:beforeLines="50" w:after="156" w:afterLines="50" w:line="400" w:lineRule="exact"/>
        <w:outlineLvl w:val="2"/>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三、学制</w:t>
      </w:r>
      <w:r>
        <w:rPr>
          <w:rFonts w:hint="eastAsia" w:ascii="Times New Roman" w:hAnsi="Times New Roman" w:eastAsia="宋体" w:cs="Times New Roman"/>
          <w:b/>
          <w:bCs/>
          <w:kern w:val="0"/>
          <w:sz w:val="24"/>
          <w:szCs w:val="32"/>
        </w:rPr>
        <w:t>及</w:t>
      </w:r>
      <w:r>
        <w:rPr>
          <w:rFonts w:ascii="Times New Roman" w:hAnsi="Times New Roman" w:eastAsia="宋体" w:cs="Times New Roman"/>
          <w:b/>
          <w:bCs/>
          <w:kern w:val="0"/>
          <w:sz w:val="24"/>
          <w:szCs w:val="32"/>
        </w:rPr>
        <w:t>学习年限</w:t>
      </w:r>
    </w:p>
    <w:p>
      <w:pPr>
        <w:adjustRightInd w:val="0"/>
        <w:snapToGrid w:val="0"/>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土木水利硕士专业学位研究生</w:t>
      </w:r>
      <w:r>
        <w:rPr>
          <w:rFonts w:ascii="Times New Roman" w:hAnsi="Times New Roman" w:eastAsia="宋体" w:cs="Times New Roman"/>
          <w:sz w:val="24"/>
          <w:szCs w:val="24"/>
        </w:rPr>
        <w:t>学制为3年，</w:t>
      </w:r>
      <w:r>
        <w:rPr>
          <w:rFonts w:hint="eastAsia" w:ascii="Times New Roman" w:hAnsi="Times New Roman" w:eastAsia="宋体" w:cs="Times New Roman"/>
          <w:sz w:val="24"/>
          <w:szCs w:val="24"/>
        </w:rPr>
        <w:t>学习年限一般为</w:t>
      </w:r>
      <w:r>
        <w:rPr>
          <w:rFonts w:ascii="Times New Roman" w:hAnsi="Times New Roman" w:eastAsia="宋体" w:cs="Times New Roman"/>
          <w:sz w:val="24"/>
          <w:szCs w:val="24"/>
        </w:rPr>
        <w:t>3-4</w:t>
      </w:r>
      <w:r>
        <w:rPr>
          <w:rFonts w:hint="eastAsia" w:ascii="Times New Roman" w:hAnsi="Times New Roman" w:eastAsia="宋体" w:cs="Times New Roman"/>
          <w:sz w:val="24"/>
          <w:szCs w:val="24"/>
        </w:rPr>
        <w:t>年，最长不超过</w:t>
      </w:r>
      <w:r>
        <w:rPr>
          <w:rFonts w:ascii="Times New Roman" w:hAnsi="Times New Roman" w:eastAsia="宋体" w:cs="Times New Roman"/>
          <w:sz w:val="24"/>
          <w:szCs w:val="24"/>
        </w:rPr>
        <w:t>5</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w:t>
      </w:r>
    </w:p>
    <w:p>
      <w:pPr>
        <w:adjustRightInd w:val="0"/>
        <w:snapToGrid w:val="0"/>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非全日制专业学位硕士研究生学习年限一般</w:t>
      </w:r>
      <w:r>
        <w:rPr>
          <w:rFonts w:ascii="Times New Roman" w:hAnsi="Times New Roman" w:eastAsia="宋体" w:cs="Times New Roman"/>
          <w:sz w:val="24"/>
          <w:szCs w:val="24"/>
        </w:rPr>
        <w:t>3-4</w:t>
      </w:r>
      <w:r>
        <w:rPr>
          <w:rFonts w:hint="eastAsia" w:ascii="Times New Roman" w:hAnsi="Times New Roman" w:eastAsia="宋体" w:cs="Times New Roman"/>
          <w:sz w:val="24"/>
          <w:szCs w:val="24"/>
        </w:rPr>
        <w:t>年，最长不超过</w:t>
      </w:r>
      <w:r>
        <w:rPr>
          <w:rFonts w:ascii="Times New Roman" w:hAnsi="Times New Roman" w:eastAsia="宋体" w:cs="Times New Roman"/>
          <w:sz w:val="24"/>
          <w:szCs w:val="24"/>
        </w:rPr>
        <w:t>6</w:t>
      </w:r>
      <w:r>
        <w:rPr>
          <w:rFonts w:hint="eastAsia" w:ascii="Times New Roman" w:hAnsi="Times New Roman" w:eastAsia="宋体" w:cs="Times New Roman"/>
          <w:sz w:val="24"/>
          <w:szCs w:val="24"/>
        </w:rPr>
        <w:t>年。</w:t>
      </w:r>
    </w:p>
    <w:p>
      <w:pPr>
        <w:adjustRightInd w:val="0"/>
        <w:snapToGrid w:val="0"/>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休学创业的研究生，最长学习年限为</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年。</w:t>
      </w:r>
    </w:p>
    <w:p>
      <w:pPr>
        <w:keepNext/>
        <w:keepLines/>
        <w:spacing w:before="156" w:beforeLines="50" w:after="156" w:afterLines="50" w:line="400" w:lineRule="exact"/>
        <w:outlineLvl w:val="2"/>
        <w:rPr>
          <w:rFonts w:ascii="Times New Roman" w:hAnsi="Times New Roman" w:eastAsia="宋体" w:cs="Times New Roman"/>
          <w:b/>
          <w:bCs/>
          <w:kern w:val="0"/>
          <w:sz w:val="24"/>
          <w:szCs w:val="32"/>
        </w:rPr>
      </w:pPr>
      <w:r>
        <w:rPr>
          <w:rFonts w:ascii="Times New Roman" w:hAnsi="Times New Roman" w:eastAsia="宋体" w:cs="Times New Roman"/>
          <w:b/>
          <w:bCs/>
          <w:kern w:val="0"/>
          <w:sz w:val="24"/>
          <w:szCs w:val="32"/>
        </w:rPr>
        <w:t>四、课程设置</w:t>
      </w:r>
      <w:r>
        <w:rPr>
          <w:rFonts w:hint="eastAsia" w:ascii="Times New Roman" w:hAnsi="Times New Roman" w:eastAsia="宋体" w:cs="Times New Roman"/>
          <w:b/>
          <w:bCs/>
          <w:kern w:val="0"/>
          <w:sz w:val="24"/>
          <w:szCs w:val="32"/>
        </w:rPr>
        <w:t>及学分要求</w:t>
      </w:r>
    </w:p>
    <w:p>
      <w:pPr>
        <w:adjustRightInd w:val="0"/>
        <w:snapToGrid w:val="0"/>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（一）学</w:t>
      </w:r>
      <w:r>
        <w:rPr>
          <w:rFonts w:hint="eastAsia" w:ascii="Times New Roman" w:hAnsi="Times New Roman" w:eastAsia="宋体" w:cs="Times New Roman"/>
          <w:sz w:val="24"/>
          <w:szCs w:val="24"/>
        </w:rPr>
        <w:t>分要求</w:t>
      </w:r>
    </w:p>
    <w:p>
      <w:pPr>
        <w:spacing w:line="400" w:lineRule="exact"/>
        <w:ind w:firstLine="480" w:firstLineChars="200"/>
        <w:rPr>
          <w:bCs/>
          <w:sz w:val="24"/>
        </w:rPr>
      </w:pPr>
      <w:r>
        <w:rPr>
          <w:rFonts w:hint="eastAsia"/>
          <w:bCs/>
          <w:sz w:val="24"/>
        </w:rPr>
        <w:t>总学分数为≥35学分，其中课程学习学分为≥28学分，必修环节学分为7学分。所修课程由公共学位课、专业学位课和选修课三部分组成，其中公共学位课≥</w:t>
      </w:r>
      <w:r>
        <w:rPr>
          <w:bCs/>
          <w:sz w:val="24"/>
        </w:rPr>
        <w:t>8</w:t>
      </w:r>
      <w:r>
        <w:rPr>
          <w:rFonts w:hint="eastAsia"/>
          <w:bCs/>
          <w:sz w:val="24"/>
        </w:rPr>
        <w:t>学分，专业学位课≥10学分，选修课≥1</w:t>
      </w:r>
      <w:r>
        <w:rPr>
          <w:bCs/>
          <w:sz w:val="24"/>
        </w:rPr>
        <w:t>0</w:t>
      </w:r>
      <w:r>
        <w:rPr>
          <w:rFonts w:hint="eastAsia"/>
          <w:bCs/>
          <w:sz w:val="24"/>
        </w:rPr>
        <w:t>学分。必修环节包括：专业实践6学分，选题报告1学分。</w:t>
      </w:r>
    </w:p>
    <w:p>
      <w:pPr>
        <w:adjustRightInd w:val="0"/>
        <w:snapToGrid w:val="0"/>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（二）课</w:t>
      </w:r>
      <w:r>
        <w:rPr>
          <w:rFonts w:hint="eastAsia" w:ascii="Times New Roman" w:hAnsi="Times New Roman" w:eastAsia="宋体" w:cs="Times New Roman"/>
          <w:sz w:val="24"/>
          <w:szCs w:val="24"/>
        </w:rPr>
        <w:t>程设置</w:t>
      </w:r>
    </w:p>
    <w:tbl>
      <w:tblPr>
        <w:tblStyle w:val="6"/>
        <w:tblW w:w="8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737"/>
        <w:gridCol w:w="1108"/>
        <w:gridCol w:w="1276"/>
        <w:gridCol w:w="708"/>
        <w:gridCol w:w="708"/>
        <w:gridCol w:w="566"/>
        <w:gridCol w:w="709"/>
        <w:gridCol w:w="1135"/>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02"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课程</w:t>
            </w:r>
          </w:p>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类别</w:t>
            </w:r>
          </w:p>
        </w:tc>
        <w:tc>
          <w:tcPr>
            <w:tcW w:w="737"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课程</w:t>
            </w:r>
          </w:p>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类型</w:t>
            </w:r>
          </w:p>
        </w:tc>
        <w:tc>
          <w:tcPr>
            <w:tcW w:w="1108"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课程编号</w:t>
            </w:r>
          </w:p>
        </w:tc>
        <w:tc>
          <w:tcPr>
            <w:tcW w:w="1276"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课程名称</w:t>
            </w:r>
          </w:p>
        </w:tc>
        <w:tc>
          <w:tcPr>
            <w:tcW w:w="708"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理论</w:t>
            </w:r>
          </w:p>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学时</w:t>
            </w:r>
          </w:p>
        </w:tc>
        <w:tc>
          <w:tcPr>
            <w:tcW w:w="708"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实验</w:t>
            </w:r>
          </w:p>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学时</w:t>
            </w:r>
          </w:p>
        </w:tc>
        <w:tc>
          <w:tcPr>
            <w:tcW w:w="566"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学分</w:t>
            </w:r>
          </w:p>
        </w:tc>
        <w:tc>
          <w:tcPr>
            <w:tcW w:w="709"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开课</w:t>
            </w:r>
          </w:p>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学期</w:t>
            </w:r>
          </w:p>
        </w:tc>
        <w:tc>
          <w:tcPr>
            <w:tcW w:w="1135"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开课</w:t>
            </w:r>
          </w:p>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单位</w:t>
            </w:r>
          </w:p>
        </w:tc>
        <w:tc>
          <w:tcPr>
            <w:tcW w:w="755" w:type="dxa"/>
            <w:shd w:val="clear" w:color="auto" w:fill="auto"/>
            <w:tcMar>
              <w:top w:w="57" w:type="dxa"/>
              <w:left w:w="57" w:type="dxa"/>
              <w:bottom w:w="57" w:type="dxa"/>
              <w:right w:w="57" w:type="dxa"/>
            </w:tcMar>
            <w:vAlign w:val="center"/>
          </w:tcPr>
          <w:p>
            <w:pPr>
              <w:widowControl/>
              <w:ind w:left="-42" w:leftChars="-20" w:right="-42" w:rightChars="-20"/>
              <w:jc w:val="center"/>
              <w:rPr>
                <w:rFonts w:ascii="Times New Roman" w:hAnsi="Times New Roman" w:eastAsia="宋体" w:cs="Times New Roman"/>
                <w:b/>
                <w:kern w:val="0"/>
                <w:sz w:val="22"/>
              </w:rPr>
            </w:pPr>
            <w:r>
              <w:rPr>
                <w:rFonts w:ascii="Times New Roman" w:hAnsi="Times New Roman" w:eastAsia="宋体" w:cs="Times New Roman"/>
                <w:b/>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restart"/>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r>
              <w:rPr>
                <w:rFonts w:ascii="Times New Roman" w:hAnsi="Times New Roman" w:eastAsia="宋体" w:cs="Times New Roman"/>
                <w:kern w:val="0"/>
                <w:sz w:val="22"/>
              </w:rPr>
              <w:t>公共</w:t>
            </w:r>
          </w:p>
          <w:p>
            <w:pPr>
              <w:widowControl/>
              <w:ind w:left="-105" w:leftChars="-50" w:right="-105" w:rightChars="-50"/>
              <w:jc w:val="center"/>
              <w:rPr>
                <w:rFonts w:ascii="Times New Roman" w:hAnsi="Times New Roman" w:eastAsia="宋体" w:cs="Times New Roman"/>
                <w:kern w:val="0"/>
                <w:sz w:val="22"/>
              </w:rPr>
            </w:pPr>
            <w:r>
              <w:rPr>
                <w:rFonts w:ascii="Times New Roman" w:hAnsi="Times New Roman" w:eastAsia="宋体" w:cs="Times New Roman"/>
                <w:kern w:val="0"/>
                <w:sz w:val="22"/>
              </w:rPr>
              <w:t>学位课</w:t>
            </w:r>
          </w:p>
          <w:p>
            <w:pPr>
              <w:widowControl/>
              <w:ind w:left="-105" w:leftChars="-50" w:right="-105" w:rightChars="-50"/>
              <w:jc w:val="center"/>
              <w:rPr>
                <w:rFonts w:ascii="Times New Roman" w:hAnsi="Times New Roman" w:eastAsia="宋体" w:cs="Times New Roman"/>
                <w:kern w:val="0"/>
                <w:sz w:val="22"/>
              </w:rPr>
            </w:pPr>
            <w:r>
              <w:rPr>
                <w:rFonts w:ascii="Times New Roman" w:hAnsi="Times New Roman" w:eastAsia="宋体" w:cs="Times New Roman"/>
                <w:kern w:val="0"/>
                <w:sz w:val="22"/>
              </w:rPr>
              <w:t>（</w:t>
            </w:r>
            <w:r>
              <w:rPr>
                <w:rFonts w:hint="eastAsia" w:ascii="Times New Roman" w:hAnsi="Times New Roman" w:eastAsia="宋体" w:cs="Times New Roman"/>
                <w:kern w:val="0"/>
                <w:sz w:val="22"/>
              </w:rPr>
              <w:t>8</w:t>
            </w:r>
            <w:r>
              <w:rPr>
                <w:rFonts w:ascii="Times New Roman" w:hAnsi="Times New Roman" w:eastAsia="宋体" w:cs="Times New Roman"/>
                <w:kern w:val="0"/>
                <w:sz w:val="22"/>
              </w:rPr>
              <w:t>学分）</w:t>
            </w:r>
          </w:p>
        </w:tc>
        <w:tc>
          <w:tcPr>
            <w:tcW w:w="737" w:type="dxa"/>
            <w:vMerge w:val="restart"/>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r>
              <w:rPr>
                <w:rFonts w:ascii="Times New Roman" w:hAnsi="Times New Roman" w:eastAsia="宋体" w:cs="Times New Roman"/>
                <w:kern w:val="0"/>
                <w:sz w:val="22"/>
              </w:rPr>
              <w:t>外语</w:t>
            </w:r>
          </w:p>
          <w:p>
            <w:pPr>
              <w:widowControl/>
              <w:ind w:left="-105" w:leftChars="-50" w:right="-105" w:rightChars="-50"/>
              <w:jc w:val="center"/>
              <w:rPr>
                <w:rFonts w:ascii="Times New Roman" w:hAnsi="Times New Roman" w:eastAsia="宋体" w:cs="Times New Roman"/>
                <w:kern w:val="0"/>
                <w:sz w:val="22"/>
              </w:rPr>
            </w:pPr>
            <w:r>
              <w:rPr>
                <w:rFonts w:ascii="Times New Roman" w:hAnsi="Times New Roman" w:eastAsia="宋体" w:cs="Times New Roman"/>
                <w:kern w:val="0"/>
                <w:sz w:val="22"/>
              </w:rPr>
              <w:t>（</w:t>
            </w:r>
            <w:r>
              <w:rPr>
                <w:rFonts w:hint="eastAsia" w:ascii="Times New Roman" w:hAnsi="Times New Roman" w:eastAsia="宋体" w:cs="Times New Roman"/>
                <w:kern w:val="0"/>
                <w:sz w:val="22"/>
              </w:rPr>
              <w:t>2</w:t>
            </w:r>
            <w:r>
              <w:rPr>
                <w:rFonts w:ascii="Times New Roman" w:hAnsi="Times New Roman" w:eastAsia="宋体" w:cs="Times New Roman"/>
                <w:kern w:val="0"/>
                <w:sz w:val="22"/>
              </w:rPr>
              <w:t>学分）</w:t>
            </w:r>
          </w:p>
        </w:tc>
        <w:tc>
          <w:tcPr>
            <w:tcW w:w="1108" w:type="dxa"/>
            <w:shd w:val="clear" w:color="auto" w:fill="auto"/>
            <w:tcMar>
              <w:top w:w="57" w:type="dxa"/>
              <w:left w:w="57" w:type="dxa"/>
              <w:bottom w:w="57" w:type="dxa"/>
              <w:right w:w="57" w:type="dxa"/>
            </w:tcMar>
            <w:vAlign w:val="center"/>
          </w:tcPr>
          <w:p>
            <w:pPr>
              <w:widowControl/>
              <w:jc w:val="center"/>
              <w:rPr>
                <w:rFonts w:eastAsia="等线"/>
                <w:kern w:val="0"/>
                <w:sz w:val="22"/>
              </w:rPr>
            </w:pPr>
            <w:r>
              <w:rPr>
                <w:rFonts w:eastAsia="等线"/>
                <w:kern w:val="0"/>
                <w:sz w:val="22"/>
              </w:rPr>
              <w:t>40200123001</w:t>
            </w:r>
          </w:p>
        </w:tc>
        <w:tc>
          <w:tcPr>
            <w:tcW w:w="1276" w:type="dxa"/>
            <w:shd w:val="clear" w:color="auto" w:fill="auto"/>
            <w:tcMar>
              <w:top w:w="57" w:type="dxa"/>
              <w:left w:w="57" w:type="dxa"/>
              <w:bottom w:w="57" w:type="dxa"/>
              <w:right w:w="57" w:type="dxa"/>
            </w:tcMar>
            <w:vAlign w:val="center"/>
          </w:tcPr>
          <w:p>
            <w:pPr>
              <w:widowControl/>
              <w:jc w:val="center"/>
              <w:rPr>
                <w:kern w:val="0"/>
                <w:sz w:val="22"/>
              </w:rPr>
            </w:pPr>
            <w:r>
              <w:rPr>
                <w:rFonts w:hint="eastAsia"/>
                <w:kern w:val="0"/>
                <w:sz w:val="22"/>
              </w:rPr>
              <w:t>学术英语读写</w:t>
            </w:r>
          </w:p>
        </w:tc>
        <w:tc>
          <w:tcPr>
            <w:tcW w:w="708" w:type="dxa"/>
            <w:shd w:val="clear" w:color="auto" w:fill="auto"/>
            <w:tcMar>
              <w:top w:w="57" w:type="dxa"/>
              <w:left w:w="57" w:type="dxa"/>
              <w:bottom w:w="57" w:type="dxa"/>
              <w:right w:w="57" w:type="dxa"/>
            </w:tcMar>
            <w:vAlign w:val="center"/>
          </w:tcPr>
          <w:p>
            <w:pPr>
              <w:widowControl/>
              <w:jc w:val="center"/>
              <w:rPr>
                <w:rFonts w:eastAsia="等线"/>
                <w:kern w:val="0"/>
                <w:sz w:val="22"/>
              </w:rPr>
            </w:pPr>
            <w:r>
              <w:rPr>
                <w:rFonts w:eastAsia="等线"/>
                <w:kern w:val="0"/>
                <w:sz w:val="22"/>
              </w:rPr>
              <w:t>36</w:t>
            </w:r>
          </w:p>
        </w:tc>
        <w:tc>
          <w:tcPr>
            <w:tcW w:w="708" w:type="dxa"/>
            <w:shd w:val="clear" w:color="auto" w:fill="auto"/>
            <w:tcMar>
              <w:top w:w="57" w:type="dxa"/>
              <w:left w:w="57" w:type="dxa"/>
              <w:bottom w:w="57" w:type="dxa"/>
              <w:right w:w="57" w:type="dxa"/>
            </w:tcMar>
            <w:vAlign w:val="center"/>
          </w:tcPr>
          <w:p>
            <w:pPr>
              <w:jc w:val="center"/>
              <w:rPr>
                <w:kern w:val="0"/>
                <w:sz w:val="22"/>
              </w:rPr>
            </w:pPr>
          </w:p>
        </w:tc>
        <w:tc>
          <w:tcPr>
            <w:tcW w:w="566" w:type="dxa"/>
            <w:shd w:val="clear" w:color="auto" w:fill="auto"/>
            <w:tcMar>
              <w:top w:w="57" w:type="dxa"/>
              <w:left w:w="57" w:type="dxa"/>
              <w:bottom w:w="57" w:type="dxa"/>
              <w:right w:w="57" w:type="dxa"/>
            </w:tcMar>
            <w:vAlign w:val="center"/>
          </w:tcPr>
          <w:p>
            <w:pPr>
              <w:widowControl/>
              <w:jc w:val="center"/>
              <w:rPr>
                <w:rFonts w:eastAsia="等线"/>
                <w:kern w:val="0"/>
                <w:sz w:val="22"/>
              </w:rPr>
            </w:pPr>
            <w:r>
              <w:rPr>
                <w:rFonts w:eastAsia="等线"/>
                <w:kern w:val="0"/>
                <w:sz w:val="22"/>
              </w:rPr>
              <w:t>2</w:t>
            </w:r>
          </w:p>
        </w:tc>
        <w:tc>
          <w:tcPr>
            <w:tcW w:w="709" w:type="dxa"/>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restart"/>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任选一门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single" w:color="auto" w:sz="8" w:space="0"/>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40200123002</w:t>
            </w:r>
          </w:p>
        </w:tc>
        <w:tc>
          <w:tcPr>
            <w:tcW w:w="1276" w:type="dxa"/>
            <w:tcBorders>
              <w:top w:val="single" w:color="auto" w:sz="8" w:space="0"/>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学术英语交流</w:t>
            </w:r>
          </w:p>
        </w:tc>
        <w:tc>
          <w:tcPr>
            <w:tcW w:w="708" w:type="dxa"/>
            <w:tcBorders>
              <w:top w:val="single" w:color="auto" w:sz="8" w:space="0"/>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single" w:color="auto" w:sz="8" w:space="0"/>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single" w:color="auto" w:sz="8" w:space="0"/>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single" w:color="auto" w:sz="8" w:space="0"/>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single" w:color="auto" w:sz="8" w:space="0"/>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40200123003</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雅思考试技巧与实践</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40200123004</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托福考试技巧与实践</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40200123005</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翻译技巧与实践</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40200123006</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名剧民品</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40200123007</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英语公共演讲</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40200123008</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研究生英语听说实践</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40200123009</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跨文化交际</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40200123010</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科技英语实训</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40200123011</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英语论语导读</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40200123012</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学术阅读策略</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eastAsia="等线"/>
                <w:kern w:val="0"/>
                <w:sz w:val="22"/>
              </w:rPr>
            </w:pPr>
            <w:r>
              <w:rPr>
                <w:rFonts w:eastAsia="等线"/>
                <w:kern w:val="0"/>
                <w:sz w:val="22"/>
              </w:rPr>
              <w:t>40200123013</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学术英语交流与表达</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rFonts w:eastAsia="等线"/>
                <w:kern w:val="0"/>
                <w:sz w:val="22"/>
              </w:rPr>
            </w:pPr>
            <w:r>
              <w:rPr>
                <w:rFonts w:eastAsia="等线"/>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rFonts w:eastAsia="等线"/>
                <w:kern w:val="0"/>
                <w:sz w:val="22"/>
              </w:rPr>
            </w:pPr>
            <w:r>
              <w:rPr>
                <w:rFonts w:eastAsia="等线"/>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w:t>
            </w: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tcPr>
          <w:p>
            <w:pPr>
              <w:jc w:val="center"/>
              <w:rPr>
                <w:rFonts w:eastAsia="等线"/>
                <w:kern w:val="0"/>
                <w:sz w:val="22"/>
              </w:rPr>
            </w:pPr>
            <w:r>
              <w:rPr>
                <w:kern w:val="0"/>
                <w:sz w:val="22"/>
              </w:rPr>
              <w:t>60200123002</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英语演讲（高阶）</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rFonts w:eastAsia="等线"/>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rFonts w:eastAsia="等线"/>
                <w:kern w:val="0"/>
                <w:sz w:val="22"/>
              </w:rPr>
            </w:pPr>
            <w:r>
              <w:rPr>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tcPr>
          <w:p>
            <w:pPr>
              <w:jc w:val="center"/>
              <w:rPr>
                <w:rFonts w:eastAsia="等线"/>
                <w:kern w:val="0"/>
                <w:sz w:val="22"/>
              </w:rPr>
            </w:pPr>
            <w:r>
              <w:rPr>
                <w:kern w:val="0"/>
                <w:sz w:val="22"/>
              </w:rPr>
              <w:t>60200123001</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科技英语阅读与写作（高阶）</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rFonts w:eastAsia="等线"/>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rFonts w:eastAsia="等线"/>
                <w:kern w:val="0"/>
                <w:sz w:val="22"/>
              </w:rPr>
            </w:pPr>
            <w:r>
              <w:rPr>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r>
              <w:rPr>
                <w:rFonts w:hint="eastAsia"/>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sz w:val="22"/>
              </w:rPr>
              <w:t>40200123014-17</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第一外国语</w:t>
            </w:r>
          </w:p>
          <w:p>
            <w:pPr>
              <w:jc w:val="center"/>
              <w:rPr>
                <w:kern w:val="0"/>
                <w:sz w:val="22"/>
              </w:rPr>
            </w:pPr>
            <w:r>
              <w:rPr>
                <w:rFonts w:hint="eastAsia"/>
                <w:kern w:val="0"/>
                <w:sz w:val="22"/>
              </w:rPr>
              <w:t>（日、法、德、俄语）</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外国语</w:t>
            </w:r>
          </w:p>
          <w:p>
            <w:pPr>
              <w:jc w:val="center"/>
              <w:rPr>
                <w:kern w:val="0"/>
                <w:sz w:val="22"/>
              </w:rPr>
            </w:pPr>
            <w:r>
              <w:rPr>
                <w:rFonts w:hint="eastAsia"/>
                <w:kern w:val="0"/>
                <w:sz w:val="22"/>
              </w:rPr>
              <w:t>学院</w:t>
            </w:r>
          </w:p>
        </w:tc>
        <w:tc>
          <w:tcPr>
            <w:tcW w:w="755" w:type="dxa"/>
            <w:vMerge w:val="continue"/>
            <w:tcBorders>
              <w:bottom w:val="single" w:color="auto" w:sz="8" w:space="0"/>
            </w:tcBorders>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restart"/>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数学</w:t>
            </w:r>
            <w:r>
              <w:rPr>
                <w:rFonts w:ascii="Times New Roman" w:hAnsi="Times New Roman" w:eastAsia="宋体" w:cs="Times New Roman"/>
                <w:kern w:val="0"/>
                <w:sz w:val="22"/>
              </w:rPr>
              <w:t>（</w:t>
            </w:r>
            <w:r>
              <w:rPr>
                <w:rFonts w:hint="eastAsia" w:ascii="Times New Roman" w:hAnsi="Times New Roman" w:eastAsia="宋体" w:cs="Times New Roman"/>
                <w:kern w:val="0"/>
                <w:sz w:val="22"/>
              </w:rPr>
              <w:t>2</w:t>
            </w:r>
            <w:r>
              <w:rPr>
                <w:rFonts w:ascii="Times New Roman" w:hAnsi="Times New Roman" w:eastAsia="宋体" w:cs="Times New Roman"/>
                <w:kern w:val="0"/>
                <w:sz w:val="22"/>
              </w:rPr>
              <w:t>学分）</w:t>
            </w: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rFonts w:ascii="Times New Roman" w:hAnsi="Times New Roman" w:eastAsia="等线" w:cs="Times New Roman"/>
                <w:color w:val="000000"/>
                <w:kern w:val="0"/>
                <w:sz w:val="22"/>
              </w:rPr>
            </w:pPr>
            <w:r>
              <w:rPr>
                <w:rFonts w:ascii="Times New Roman" w:hAnsi="Times New Roman" w:eastAsia="等线" w:cs="Times New Roman"/>
                <w:color w:val="000000"/>
                <w:sz w:val="22"/>
              </w:rPr>
              <w:t>50150123001</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数学物理方法</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理学院</w:t>
            </w:r>
          </w:p>
        </w:tc>
        <w:tc>
          <w:tcPr>
            <w:tcW w:w="755" w:type="dxa"/>
            <w:vMerge w:val="restart"/>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任选</w:t>
            </w:r>
          </w:p>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1门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ascii="Times New Roman" w:hAnsi="Times New Roman" w:eastAsia="等线" w:cs="Times New Roman"/>
                <w:color w:val="000000"/>
                <w:sz w:val="22"/>
              </w:rPr>
            </w:pPr>
            <w:r>
              <w:rPr>
                <w:rFonts w:ascii="Times New Roman" w:hAnsi="Times New Roman" w:eastAsia="等线" w:cs="Times New Roman"/>
                <w:color w:val="000000"/>
                <w:sz w:val="22"/>
              </w:rPr>
              <w:t>50150123002</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矩阵分析</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理学院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ascii="Times New Roman" w:hAnsi="Times New Roman" w:eastAsia="等线" w:cs="Times New Roman"/>
                <w:color w:val="000000"/>
                <w:sz w:val="22"/>
              </w:rPr>
            </w:pPr>
            <w:r>
              <w:rPr>
                <w:rFonts w:ascii="Times New Roman" w:hAnsi="Times New Roman" w:eastAsia="等线" w:cs="Times New Roman"/>
                <w:color w:val="000000"/>
                <w:sz w:val="22"/>
              </w:rPr>
              <w:t>50150123003</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统计计算</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理学院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ascii="Times New Roman" w:hAnsi="Times New Roman" w:eastAsia="等线" w:cs="Times New Roman"/>
                <w:color w:val="000000"/>
                <w:sz w:val="22"/>
              </w:rPr>
            </w:pPr>
            <w:r>
              <w:rPr>
                <w:rFonts w:ascii="Times New Roman" w:hAnsi="Times New Roman" w:eastAsia="等线" w:cs="Times New Roman"/>
                <w:color w:val="000000"/>
                <w:sz w:val="22"/>
              </w:rPr>
              <w:t>50150123004</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随机过程及应用</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理学院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ascii="Times New Roman" w:hAnsi="Times New Roman" w:eastAsia="等线" w:cs="Times New Roman"/>
                <w:color w:val="000000"/>
                <w:sz w:val="22"/>
              </w:rPr>
            </w:pPr>
            <w:r>
              <w:rPr>
                <w:rFonts w:ascii="Times New Roman" w:hAnsi="Times New Roman" w:eastAsia="等线" w:cs="Times New Roman"/>
                <w:color w:val="000000"/>
                <w:sz w:val="22"/>
              </w:rPr>
              <w:t>50150123005</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数值计算</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理学院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rFonts w:ascii="Times New Roman" w:hAnsi="Times New Roman" w:eastAsia="等线" w:cs="Times New Roman"/>
                <w:color w:val="000000"/>
                <w:sz w:val="22"/>
              </w:rPr>
            </w:pPr>
            <w:r>
              <w:rPr>
                <w:rFonts w:ascii="Times New Roman" w:hAnsi="Times New Roman" w:eastAsia="等线" w:cs="Times New Roman"/>
                <w:color w:val="000000"/>
                <w:sz w:val="22"/>
              </w:rPr>
              <w:t>50150123006</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数学建模</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rPr>
            </w:pPr>
            <w:r>
              <w:rPr>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理学院</w:t>
            </w:r>
          </w:p>
        </w:tc>
        <w:tc>
          <w:tcPr>
            <w:tcW w:w="755" w:type="dxa"/>
            <w:vMerge w:val="continue"/>
            <w:tcBorders>
              <w:bottom w:val="single" w:color="auto" w:sz="8" w:space="0"/>
            </w:tcBorders>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restart"/>
            <w:shd w:val="clear" w:color="auto" w:fill="auto"/>
            <w:tcMar>
              <w:top w:w="57" w:type="dxa"/>
              <w:left w:w="57" w:type="dxa"/>
              <w:bottom w:w="57" w:type="dxa"/>
              <w:right w:w="57" w:type="dxa"/>
            </w:tcMar>
            <w:vAlign w:val="center"/>
          </w:tcPr>
          <w:p>
            <w:pPr>
              <w:jc w:val="center"/>
              <w:rPr>
                <w:kern w:val="0"/>
                <w:sz w:val="22"/>
              </w:rPr>
            </w:pPr>
            <w:r>
              <w:rPr>
                <w:kern w:val="0"/>
                <w:sz w:val="22"/>
              </w:rPr>
              <w:t>思政</w:t>
            </w:r>
          </w:p>
          <w:p>
            <w:pPr>
              <w:widowControl/>
              <w:ind w:left="-105" w:leftChars="-50" w:right="-105" w:rightChars="-50"/>
              <w:jc w:val="center"/>
              <w:rPr>
                <w:rFonts w:ascii="Times New Roman" w:hAnsi="Times New Roman" w:eastAsia="宋体" w:cs="Times New Roman"/>
                <w:kern w:val="0"/>
                <w:sz w:val="22"/>
              </w:rPr>
            </w:pPr>
            <w:r>
              <w:rPr>
                <w:kern w:val="0"/>
                <w:sz w:val="22"/>
              </w:rPr>
              <w:t>（3学分）</w:t>
            </w: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szCs w:val="24"/>
              </w:rPr>
            </w:pPr>
            <w:r>
              <w:rPr>
                <w:rFonts w:ascii="Times New Roman" w:hAnsi="Times New Roman" w:eastAsia="等线" w:cs="Times New Roman"/>
                <w:color w:val="000000"/>
                <w:sz w:val="22"/>
              </w:rPr>
              <w:t>50210123001</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新时代中国特色社会主义理论与实践</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36</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马克思主义学院</w:t>
            </w:r>
          </w:p>
        </w:tc>
        <w:tc>
          <w:tcPr>
            <w:tcW w:w="755" w:type="dxa"/>
            <w:vMerge w:val="restart"/>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vMerge w:val="continue"/>
            <w:shd w:val="clear" w:color="auto" w:fill="auto"/>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kern w:val="0"/>
                <w:sz w:val="22"/>
              </w:rPr>
            </w:pP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kern w:val="0"/>
                <w:sz w:val="22"/>
                <w:szCs w:val="24"/>
              </w:rPr>
            </w:pPr>
            <w:r>
              <w:rPr>
                <w:rFonts w:ascii="Times New Roman" w:hAnsi="Times New Roman" w:eastAsia="等线" w:cs="Times New Roman"/>
                <w:color w:val="000000"/>
                <w:sz w:val="22"/>
              </w:rPr>
              <w:t>50210123002</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自然辩证法概论</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18</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1</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1</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马克思</w:t>
            </w:r>
          </w:p>
          <w:p>
            <w:pPr>
              <w:jc w:val="center"/>
              <w:rPr>
                <w:kern w:val="0"/>
                <w:sz w:val="22"/>
              </w:rPr>
            </w:pPr>
            <w:r>
              <w:rPr>
                <w:rFonts w:hint="eastAsia"/>
                <w:kern w:val="0"/>
                <w:sz w:val="22"/>
              </w:rPr>
              <w:t>主义学院</w:t>
            </w:r>
          </w:p>
        </w:tc>
        <w:tc>
          <w:tcPr>
            <w:tcW w:w="755"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02" w:type="dxa"/>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737" w:type="dxa"/>
            <w:shd w:val="clear" w:color="auto" w:fill="auto"/>
            <w:tcMar>
              <w:top w:w="57" w:type="dxa"/>
              <w:left w:w="57" w:type="dxa"/>
              <w:bottom w:w="57" w:type="dxa"/>
              <w:right w:w="57" w:type="dxa"/>
            </w:tcMar>
            <w:vAlign w:val="center"/>
          </w:tcPr>
          <w:p>
            <w:pPr>
              <w:widowControl/>
              <w:ind w:left="-105" w:leftChars="-50" w:right="-105" w:rightChars="-50"/>
              <w:jc w:val="center"/>
              <w:rPr>
                <w:kern w:val="0"/>
                <w:sz w:val="22"/>
              </w:rPr>
            </w:pPr>
            <w:r>
              <w:rPr>
                <w:bCs/>
                <w:kern w:val="0"/>
                <w:sz w:val="22"/>
              </w:rPr>
              <w:t>工程</w:t>
            </w:r>
          </w:p>
          <w:p>
            <w:pPr>
              <w:widowControl/>
              <w:ind w:left="-105" w:leftChars="-50" w:right="-105" w:rightChars="-50"/>
              <w:jc w:val="center"/>
              <w:rPr>
                <w:kern w:val="0"/>
                <w:sz w:val="22"/>
              </w:rPr>
            </w:pPr>
            <w:r>
              <w:rPr>
                <w:bCs/>
                <w:kern w:val="0"/>
                <w:sz w:val="22"/>
              </w:rPr>
              <w:t>伦理</w:t>
            </w:r>
          </w:p>
          <w:p>
            <w:pPr>
              <w:widowControl/>
              <w:ind w:left="-105" w:leftChars="-50" w:right="-105" w:rightChars="-50"/>
              <w:jc w:val="center"/>
              <w:rPr>
                <w:rFonts w:ascii="Times New Roman" w:hAnsi="Times New Roman" w:eastAsia="宋体" w:cs="Times New Roman"/>
                <w:kern w:val="0"/>
                <w:sz w:val="22"/>
              </w:rPr>
            </w:pPr>
            <w:r>
              <w:rPr>
                <w:bCs/>
                <w:kern w:val="0"/>
                <w:sz w:val="22"/>
              </w:rPr>
              <w:t>（1学分）</w:t>
            </w:r>
          </w:p>
        </w:tc>
        <w:tc>
          <w:tcPr>
            <w:tcW w:w="11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widowControl/>
              <w:jc w:val="center"/>
              <w:rPr>
                <w:rFonts w:ascii="Times New Roman" w:hAnsi="Times New Roman" w:eastAsia="等线" w:cs="Times New Roman"/>
                <w:color w:val="000000"/>
                <w:kern w:val="0"/>
                <w:sz w:val="22"/>
              </w:rPr>
            </w:pPr>
            <w:r>
              <w:rPr>
                <w:rFonts w:ascii="Times New Roman" w:hAnsi="Times New Roman" w:eastAsia="等线" w:cs="Times New Roman"/>
                <w:color w:val="000000"/>
                <w:sz w:val="22"/>
              </w:rPr>
              <w:t>50210123005</w:t>
            </w:r>
          </w:p>
        </w:tc>
        <w:tc>
          <w:tcPr>
            <w:tcW w:w="127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工程伦理学</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18</w:t>
            </w:r>
          </w:p>
        </w:tc>
        <w:tc>
          <w:tcPr>
            <w:tcW w:w="708"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p>
        </w:tc>
        <w:tc>
          <w:tcPr>
            <w:tcW w:w="566"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p>
        </w:tc>
        <w:tc>
          <w:tcPr>
            <w:tcW w:w="709" w:type="dxa"/>
            <w:tcBorders>
              <w:top w:val="nil"/>
              <w:left w:val="nil"/>
              <w:bottom w:val="single" w:color="auto" w:sz="8" w:space="0"/>
              <w:right w:val="single" w:color="auto" w:sz="8" w:space="0"/>
            </w:tcBorders>
            <w:shd w:val="clear" w:color="auto" w:fill="auto"/>
            <w:tcMar>
              <w:top w:w="57" w:type="dxa"/>
              <w:left w:w="57" w:type="dxa"/>
              <w:bottom w:w="57" w:type="dxa"/>
              <w:right w:w="57" w:type="dxa"/>
            </w:tcMar>
            <w:vAlign w:val="center"/>
          </w:tcPr>
          <w:p>
            <w:pPr>
              <w:jc w:val="center"/>
              <w:rPr>
                <w:kern w:val="0"/>
                <w:sz w:val="22"/>
              </w:rPr>
            </w:pPr>
            <w:r>
              <w:rPr>
                <w:kern w:val="0"/>
                <w:sz w:val="22"/>
              </w:rPr>
              <w:t>1</w:t>
            </w:r>
          </w:p>
        </w:tc>
        <w:tc>
          <w:tcPr>
            <w:tcW w:w="1135" w:type="dxa"/>
            <w:tcBorders>
              <w:top w:val="nil"/>
              <w:left w:val="nil"/>
              <w:bottom w:val="single" w:color="auto" w:sz="8" w:space="0"/>
            </w:tcBorders>
            <w:shd w:val="clear" w:color="auto" w:fill="auto"/>
            <w:tcMar>
              <w:top w:w="57" w:type="dxa"/>
              <w:left w:w="57" w:type="dxa"/>
              <w:bottom w:w="57" w:type="dxa"/>
              <w:right w:w="57" w:type="dxa"/>
            </w:tcMar>
            <w:vAlign w:val="center"/>
          </w:tcPr>
          <w:p>
            <w:pPr>
              <w:jc w:val="center"/>
              <w:rPr>
                <w:kern w:val="0"/>
                <w:sz w:val="22"/>
              </w:rPr>
            </w:pPr>
            <w:r>
              <w:rPr>
                <w:rFonts w:hint="eastAsia"/>
                <w:kern w:val="0"/>
                <w:sz w:val="22"/>
              </w:rPr>
              <w:t>马克思</w:t>
            </w:r>
          </w:p>
          <w:p>
            <w:pPr>
              <w:jc w:val="center"/>
              <w:rPr>
                <w:kern w:val="0"/>
                <w:sz w:val="22"/>
              </w:rPr>
            </w:pPr>
            <w:r>
              <w:rPr>
                <w:rFonts w:hint="eastAsia"/>
                <w:kern w:val="0"/>
                <w:sz w:val="22"/>
              </w:rPr>
              <w:t>主义学院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restart"/>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40090223005</w:t>
            </w:r>
          </w:p>
        </w:tc>
        <w:tc>
          <w:tcPr>
            <w:tcW w:w="127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建筑与土木工程创新与实践</w:t>
            </w:r>
          </w:p>
        </w:tc>
        <w:tc>
          <w:tcPr>
            <w:tcW w:w="7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36</w:t>
            </w:r>
          </w:p>
        </w:tc>
        <w:tc>
          <w:tcPr>
            <w:tcW w:w="708" w:type="dxa"/>
            <w:shd w:val="clear" w:color="auto" w:fill="auto"/>
            <w:tcMar>
              <w:top w:w="57" w:type="dxa"/>
              <w:left w:w="57" w:type="dxa"/>
              <w:bottom w:w="57" w:type="dxa"/>
              <w:right w:w="57" w:type="dxa"/>
            </w:tcMar>
            <w:vAlign w:val="center"/>
          </w:tcPr>
          <w:p>
            <w:pPr>
              <w:jc w:val="center"/>
              <w:rPr>
                <w:kern w:val="0"/>
                <w:sz w:val="22"/>
              </w:rPr>
            </w:pPr>
          </w:p>
        </w:tc>
        <w:tc>
          <w:tcPr>
            <w:tcW w:w="56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709"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1</w:t>
            </w:r>
          </w:p>
        </w:tc>
        <w:tc>
          <w:tcPr>
            <w:tcW w:w="1135"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土建学院</w:t>
            </w:r>
          </w:p>
        </w:tc>
        <w:tc>
          <w:tcPr>
            <w:tcW w:w="755" w:type="dxa"/>
            <w:vMerge w:val="restart"/>
            <w:shd w:val="clear" w:color="auto" w:fill="auto"/>
            <w:tcMar>
              <w:top w:w="57" w:type="dxa"/>
              <w:left w:w="57" w:type="dxa"/>
              <w:bottom w:w="57" w:type="dxa"/>
              <w:right w:w="57" w:type="dxa"/>
            </w:tcMar>
            <w:vAlign w:val="center"/>
          </w:tcPr>
          <w:p>
            <w:pPr>
              <w:jc w:val="center"/>
              <w:rPr>
                <w:rFonts w:ascii="Times New Roman" w:hAnsi="Times New Roman" w:eastAsia="宋体" w:cs="Times New Roman"/>
                <w:kern w:val="0"/>
                <w:sz w:val="22"/>
              </w:rPr>
            </w:pPr>
            <w:r>
              <w:rPr>
                <w:rFonts w:ascii="Times New Roman" w:hAnsi="Times New Roman" w:eastAsia="宋体" w:cs="Times New Roman"/>
                <w:kern w:val="0"/>
                <w:sz w:val="22"/>
              </w:rPr>
              <w:t>必选</w:t>
            </w:r>
          </w:p>
          <w:p>
            <w:pPr>
              <w:jc w:val="center"/>
              <w:rPr>
                <w:rFonts w:ascii="Times New Roman" w:hAnsi="Times New Roman" w:eastAsia="宋体" w:cs="Times New Roman"/>
                <w:kern w:val="0"/>
                <w:sz w:val="22"/>
              </w:rPr>
            </w:pPr>
            <w:r>
              <w:rPr>
                <w:rFonts w:ascii="Times New Roman" w:hAnsi="Times New Roman" w:eastAsia="宋体" w:cs="Times New Roman"/>
                <w:kern w:val="0"/>
                <w:sz w:val="22"/>
              </w:rPr>
              <w:t>1门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50090223006</w:t>
            </w:r>
          </w:p>
        </w:tc>
        <w:tc>
          <w:tcPr>
            <w:tcW w:w="127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土木水利创新与实践</w:t>
            </w:r>
          </w:p>
        </w:tc>
        <w:tc>
          <w:tcPr>
            <w:tcW w:w="7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36</w:t>
            </w:r>
          </w:p>
        </w:tc>
        <w:tc>
          <w:tcPr>
            <w:tcW w:w="708" w:type="dxa"/>
            <w:shd w:val="clear" w:color="auto" w:fill="auto"/>
            <w:tcMar>
              <w:top w:w="57" w:type="dxa"/>
              <w:left w:w="57" w:type="dxa"/>
              <w:bottom w:w="57" w:type="dxa"/>
              <w:right w:w="57" w:type="dxa"/>
            </w:tcMar>
            <w:vAlign w:val="center"/>
          </w:tcPr>
          <w:p>
            <w:pPr>
              <w:jc w:val="center"/>
              <w:rPr>
                <w:kern w:val="0"/>
                <w:sz w:val="22"/>
              </w:rPr>
            </w:pPr>
          </w:p>
        </w:tc>
        <w:tc>
          <w:tcPr>
            <w:tcW w:w="56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709"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1</w:t>
            </w:r>
          </w:p>
        </w:tc>
        <w:tc>
          <w:tcPr>
            <w:tcW w:w="1135"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土建学院</w:t>
            </w:r>
          </w:p>
        </w:tc>
        <w:tc>
          <w:tcPr>
            <w:tcW w:w="755" w:type="dxa"/>
            <w:vMerge w:val="continue"/>
            <w:shd w:val="clear" w:color="auto" w:fill="auto"/>
            <w:tcMar>
              <w:top w:w="57" w:type="dxa"/>
              <w:left w:w="57" w:type="dxa"/>
              <w:bottom w:w="57" w:type="dxa"/>
              <w:right w:w="57" w:type="dxa"/>
            </w:tcMar>
            <w:vAlign w:val="center"/>
          </w:tcPr>
          <w:p>
            <w:pPr>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50090223007</w:t>
            </w:r>
          </w:p>
        </w:tc>
        <w:tc>
          <w:tcPr>
            <w:tcW w:w="127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土工试验（一）</w:t>
            </w:r>
          </w:p>
        </w:tc>
        <w:tc>
          <w:tcPr>
            <w:tcW w:w="7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6</w:t>
            </w:r>
          </w:p>
        </w:tc>
        <w:tc>
          <w:tcPr>
            <w:tcW w:w="7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30</w:t>
            </w:r>
          </w:p>
        </w:tc>
        <w:tc>
          <w:tcPr>
            <w:tcW w:w="56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709"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1</w:t>
            </w:r>
          </w:p>
        </w:tc>
        <w:tc>
          <w:tcPr>
            <w:tcW w:w="1135"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土建学院</w:t>
            </w:r>
          </w:p>
        </w:tc>
        <w:tc>
          <w:tcPr>
            <w:tcW w:w="755" w:type="dxa"/>
            <w:vMerge w:val="continue"/>
            <w:shd w:val="clear" w:color="auto" w:fill="auto"/>
            <w:tcMar>
              <w:top w:w="57" w:type="dxa"/>
              <w:left w:w="57" w:type="dxa"/>
              <w:bottom w:w="57" w:type="dxa"/>
              <w:right w:w="57" w:type="dxa"/>
            </w:tcMar>
            <w:vAlign w:val="center"/>
          </w:tcPr>
          <w:p>
            <w:pPr>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500902230010</w:t>
            </w:r>
          </w:p>
        </w:tc>
        <w:tc>
          <w:tcPr>
            <w:tcW w:w="127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水质分析理论与技术</w:t>
            </w:r>
          </w:p>
        </w:tc>
        <w:tc>
          <w:tcPr>
            <w:tcW w:w="708" w:type="dxa"/>
            <w:shd w:val="clear" w:color="auto" w:fill="auto"/>
            <w:tcMar>
              <w:top w:w="57" w:type="dxa"/>
              <w:left w:w="57" w:type="dxa"/>
              <w:bottom w:w="57" w:type="dxa"/>
              <w:right w:w="57" w:type="dxa"/>
            </w:tcMar>
            <w:vAlign w:val="center"/>
          </w:tcPr>
          <w:p>
            <w:pPr>
              <w:jc w:val="center"/>
              <w:rPr>
                <w:kern w:val="0"/>
                <w:sz w:val="22"/>
              </w:rPr>
            </w:pPr>
          </w:p>
        </w:tc>
        <w:tc>
          <w:tcPr>
            <w:tcW w:w="7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36</w:t>
            </w:r>
          </w:p>
        </w:tc>
        <w:tc>
          <w:tcPr>
            <w:tcW w:w="56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709"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1135"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土建学院</w:t>
            </w:r>
          </w:p>
        </w:tc>
        <w:tc>
          <w:tcPr>
            <w:tcW w:w="755" w:type="dxa"/>
            <w:vMerge w:val="continue"/>
            <w:shd w:val="clear" w:color="auto" w:fill="auto"/>
            <w:tcMar>
              <w:top w:w="57" w:type="dxa"/>
              <w:left w:w="57" w:type="dxa"/>
              <w:bottom w:w="57" w:type="dxa"/>
              <w:right w:w="57" w:type="dxa"/>
            </w:tcMar>
            <w:vAlign w:val="center"/>
          </w:tcPr>
          <w:p>
            <w:pPr>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57" w:type="dxa"/>
              <w:left w:w="57" w:type="dxa"/>
              <w:bottom w:w="57" w:type="dxa"/>
              <w:right w:w="57" w:type="dxa"/>
            </w:tcMar>
            <w:vAlign w:val="center"/>
          </w:tcPr>
          <w:p>
            <w:pPr>
              <w:widowControl/>
              <w:jc w:val="center"/>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60090223020</w:t>
            </w:r>
          </w:p>
        </w:tc>
        <w:tc>
          <w:tcPr>
            <w:tcW w:w="127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土动力学与地震工程</w:t>
            </w:r>
          </w:p>
        </w:tc>
        <w:tc>
          <w:tcPr>
            <w:tcW w:w="7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36</w:t>
            </w:r>
          </w:p>
        </w:tc>
        <w:tc>
          <w:tcPr>
            <w:tcW w:w="708" w:type="dxa"/>
            <w:shd w:val="clear" w:color="auto" w:fill="auto"/>
            <w:tcMar>
              <w:top w:w="57" w:type="dxa"/>
              <w:left w:w="57" w:type="dxa"/>
              <w:bottom w:w="57" w:type="dxa"/>
              <w:right w:w="57" w:type="dxa"/>
            </w:tcMar>
            <w:vAlign w:val="center"/>
          </w:tcPr>
          <w:p>
            <w:pPr>
              <w:jc w:val="center"/>
              <w:rPr>
                <w:kern w:val="0"/>
                <w:sz w:val="22"/>
              </w:rPr>
            </w:pPr>
          </w:p>
        </w:tc>
        <w:tc>
          <w:tcPr>
            <w:tcW w:w="56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709"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1135"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50090223002</w:t>
            </w:r>
          </w:p>
        </w:tc>
        <w:tc>
          <w:tcPr>
            <w:tcW w:w="127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岩土工程数值方法</w:t>
            </w:r>
          </w:p>
        </w:tc>
        <w:tc>
          <w:tcPr>
            <w:tcW w:w="7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36</w:t>
            </w:r>
          </w:p>
        </w:tc>
        <w:tc>
          <w:tcPr>
            <w:tcW w:w="708" w:type="dxa"/>
            <w:shd w:val="clear" w:color="auto" w:fill="auto"/>
            <w:tcMar>
              <w:top w:w="57" w:type="dxa"/>
              <w:left w:w="57" w:type="dxa"/>
              <w:bottom w:w="57" w:type="dxa"/>
              <w:right w:w="57" w:type="dxa"/>
            </w:tcMar>
            <w:vAlign w:val="center"/>
          </w:tcPr>
          <w:p>
            <w:pPr>
              <w:jc w:val="center"/>
              <w:rPr>
                <w:kern w:val="0"/>
                <w:sz w:val="22"/>
              </w:rPr>
            </w:pPr>
          </w:p>
        </w:tc>
        <w:tc>
          <w:tcPr>
            <w:tcW w:w="56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709"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1135"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50090223003</w:t>
            </w:r>
          </w:p>
        </w:tc>
        <w:tc>
          <w:tcPr>
            <w:tcW w:w="127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岩土工程理论与应用</w:t>
            </w:r>
          </w:p>
        </w:tc>
        <w:tc>
          <w:tcPr>
            <w:tcW w:w="708"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36</w:t>
            </w:r>
          </w:p>
        </w:tc>
        <w:tc>
          <w:tcPr>
            <w:tcW w:w="708" w:type="dxa"/>
            <w:shd w:val="clear" w:color="auto" w:fill="auto"/>
            <w:tcMar>
              <w:top w:w="57" w:type="dxa"/>
              <w:left w:w="57" w:type="dxa"/>
              <w:bottom w:w="57" w:type="dxa"/>
              <w:right w:w="57" w:type="dxa"/>
            </w:tcMar>
            <w:vAlign w:val="center"/>
          </w:tcPr>
          <w:p>
            <w:pPr>
              <w:jc w:val="center"/>
              <w:rPr>
                <w:kern w:val="0"/>
                <w:sz w:val="22"/>
              </w:rPr>
            </w:pPr>
          </w:p>
        </w:tc>
        <w:tc>
          <w:tcPr>
            <w:tcW w:w="566"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2</w:t>
            </w:r>
          </w:p>
        </w:tc>
        <w:tc>
          <w:tcPr>
            <w:tcW w:w="709"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1</w:t>
            </w:r>
          </w:p>
        </w:tc>
        <w:tc>
          <w:tcPr>
            <w:tcW w:w="1135" w:type="dxa"/>
            <w:shd w:val="clear" w:color="auto" w:fill="auto"/>
            <w:tcMar>
              <w:top w:w="57" w:type="dxa"/>
              <w:left w:w="57" w:type="dxa"/>
              <w:bottom w:w="57"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50090223025</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地下结构理论与应用</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50090223023</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高等混凝土结构理论与应用</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50090223026</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弹塑性力学及有限元</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50090223016</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结构动力学及其工程应用</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40090223021</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高等钢结构理论</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40090223019</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高等建筑材料学</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50090223022</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高等土木工程施工</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50090223015</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结构抗震设计理论与应用</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40090223023</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风工程导论</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40090223017</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高等桥梁结构理论</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50090223012</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桥梁结构有限元与程序设计</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40090223002</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生物化学</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40090223012</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给水处理理论与技术</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40090223024</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废水处理技术与工程</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50090223014</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流体力学理论及其应用</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50090223009</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水资源规划与管理</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widowControl/>
              <w:jc w:val="center"/>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60090223004</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低能耗建筑技术</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40090223022</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高等传热学</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40090223010</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建筑环境模拟理论与方法</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40090323062</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暖通空调系统优化与控制</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50090223013</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黏性流体力学</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50090223001</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智能技术与建造管理</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50090223021</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土木工程项目管理</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1</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bottom"/>
          </w:tcPr>
          <w:p>
            <w:pPr>
              <w:keepNext w:val="0"/>
              <w:keepLines w:val="0"/>
              <w:widowControl/>
              <w:suppressLineNumbers w:val="0"/>
              <w:jc w:val="center"/>
              <w:textAlignment w:val="bottom"/>
              <w:rPr>
                <w:kern w:val="0"/>
                <w:sz w:val="22"/>
              </w:rPr>
            </w:pPr>
            <w:r>
              <w:rPr>
                <w:rFonts w:hint="default" w:ascii="宋体" w:hAnsi="宋体" w:eastAsia="宋体" w:cs="宋体"/>
                <w:i w:val="0"/>
                <w:iCs w:val="0"/>
                <w:color w:val="FF0000"/>
                <w:kern w:val="0"/>
                <w:sz w:val="20"/>
                <w:szCs w:val="20"/>
                <w:u w:val="none"/>
                <w:lang w:val="en-US" w:eastAsia="zh-CN" w:bidi="ar"/>
              </w:rPr>
              <w:t>50090224001</w:t>
            </w:r>
          </w:p>
        </w:tc>
        <w:tc>
          <w:tcPr>
            <w:tcW w:w="1276" w:type="dxa"/>
            <w:shd w:val="clear" w:color="auto" w:fill="auto"/>
            <w:tcMar>
              <w:top w:w="85" w:type="dxa"/>
              <w:left w:w="57" w:type="dxa"/>
              <w:bottom w:w="85" w:type="dxa"/>
              <w:right w:w="57" w:type="dxa"/>
            </w:tcMar>
            <w:vAlign w:val="bottom"/>
          </w:tcPr>
          <w:p>
            <w:pPr>
              <w:keepNext w:val="0"/>
              <w:keepLines w:val="0"/>
              <w:widowControl/>
              <w:suppressLineNumbers w:val="0"/>
              <w:jc w:val="left"/>
              <w:textAlignment w:val="bottom"/>
              <w:rPr>
                <w:kern w:val="0"/>
                <w:sz w:val="22"/>
              </w:rPr>
            </w:pPr>
            <w:r>
              <w:rPr>
                <w:rFonts w:hint="eastAsia" w:ascii="宋体" w:hAnsi="宋体" w:eastAsia="宋体" w:cs="宋体"/>
                <w:i w:val="0"/>
                <w:iCs w:val="0"/>
                <w:color w:val="FF0000"/>
                <w:kern w:val="0"/>
                <w:sz w:val="22"/>
                <w:szCs w:val="22"/>
                <w:u w:val="none"/>
                <w:lang w:val="en-US" w:eastAsia="zh-CN" w:bidi="ar"/>
              </w:rPr>
              <w:t>建设法规与合同管理</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bCs/>
                <w:color w:val="FF0000"/>
                <w:kern w:val="0"/>
                <w:sz w:val="22"/>
                <w:lang w:val="en-US" w:eastAsia="zh-CN"/>
              </w:rPr>
              <w:t>36</w:t>
            </w:r>
          </w:p>
        </w:tc>
        <w:tc>
          <w:tcPr>
            <w:tcW w:w="708" w:type="dxa"/>
            <w:shd w:val="clear" w:color="auto" w:fill="auto"/>
            <w:tcMar>
              <w:top w:w="85" w:type="dxa"/>
              <w:left w:w="57" w:type="dxa"/>
              <w:bottom w:w="85" w:type="dxa"/>
              <w:right w:w="57" w:type="dxa"/>
            </w:tcMar>
            <w:vAlign w:val="center"/>
          </w:tcPr>
          <w:p>
            <w:pPr>
              <w:widowControl/>
              <w:jc w:val="center"/>
              <w:rPr>
                <w:kern w:val="0"/>
                <w:sz w:val="22"/>
              </w:rPr>
            </w:pPr>
          </w:p>
        </w:tc>
        <w:tc>
          <w:tcPr>
            <w:tcW w:w="566" w:type="dxa"/>
            <w:shd w:val="clear" w:color="auto" w:fill="auto"/>
            <w:tcMar>
              <w:top w:w="85" w:type="dxa"/>
              <w:left w:w="57" w:type="dxa"/>
              <w:bottom w:w="85" w:type="dxa"/>
              <w:right w:w="57" w:type="dxa"/>
            </w:tcMar>
            <w:vAlign w:val="center"/>
          </w:tcPr>
          <w:p>
            <w:pPr>
              <w:widowControl/>
              <w:jc w:val="center"/>
              <w:rPr>
                <w:kern w:val="0"/>
                <w:sz w:val="22"/>
              </w:rPr>
            </w:pPr>
            <w:r>
              <w:rPr>
                <w:rFonts w:hint="eastAsia"/>
                <w:bCs/>
                <w:color w:val="FF0000"/>
                <w:kern w:val="0"/>
                <w:sz w:val="22"/>
                <w:lang w:val="en-US" w:eastAsia="zh-CN"/>
              </w:rPr>
              <w:t>2</w:t>
            </w:r>
          </w:p>
        </w:tc>
        <w:tc>
          <w:tcPr>
            <w:tcW w:w="709" w:type="dxa"/>
            <w:shd w:val="clear" w:color="auto" w:fill="auto"/>
            <w:tcMar>
              <w:top w:w="85" w:type="dxa"/>
              <w:left w:w="57" w:type="dxa"/>
              <w:bottom w:w="85" w:type="dxa"/>
              <w:right w:w="57" w:type="dxa"/>
            </w:tcMar>
            <w:vAlign w:val="center"/>
          </w:tcPr>
          <w:p>
            <w:pPr>
              <w:widowControl/>
              <w:jc w:val="center"/>
              <w:rPr>
                <w:kern w:val="0"/>
                <w:sz w:val="22"/>
              </w:rPr>
            </w:pPr>
            <w:r>
              <w:rPr>
                <w:rFonts w:hint="eastAsia"/>
                <w:bCs/>
                <w:color w:val="FF0000"/>
                <w:kern w:val="0"/>
                <w:sz w:val="22"/>
                <w:lang w:val="en-US" w:eastAsia="zh-CN"/>
              </w:rPr>
              <w:t>1</w:t>
            </w:r>
          </w:p>
        </w:tc>
        <w:tc>
          <w:tcPr>
            <w:tcW w:w="1135" w:type="dxa"/>
            <w:shd w:val="clear" w:color="auto" w:fill="auto"/>
            <w:tcMar>
              <w:top w:w="85" w:type="dxa"/>
              <w:left w:w="57" w:type="dxa"/>
              <w:bottom w:w="85" w:type="dxa"/>
              <w:right w:w="57" w:type="dxa"/>
            </w:tcMar>
            <w:vAlign w:val="center"/>
          </w:tcPr>
          <w:p>
            <w:pPr>
              <w:widowControl/>
              <w:jc w:val="center"/>
              <w:rPr>
                <w:kern w:val="0"/>
                <w:sz w:val="22"/>
              </w:rPr>
            </w:pPr>
            <w:r>
              <w:rPr>
                <w:rFonts w:hint="eastAsia"/>
                <w:bCs/>
                <w:color w:val="FF0000"/>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widowControl/>
              <w:jc w:val="center"/>
              <w:textAlignment w:val="center"/>
              <w:rPr>
                <w:rFonts w:ascii="Times New Roman" w:hAnsi="Times New Roman" w:eastAsia="等线" w:cs="Times New Roman"/>
                <w:color w:val="000000"/>
                <w:sz w:val="22"/>
              </w:rPr>
            </w:pPr>
            <w:r>
              <w:rPr>
                <w:rFonts w:ascii="Times New Roman" w:hAnsi="Times New Roman" w:eastAsia="等线" w:cs="Times New Roman"/>
                <w:color w:val="000000"/>
                <w:kern w:val="0"/>
                <w:sz w:val="22"/>
                <w:lang w:bidi="ar"/>
              </w:rPr>
              <w:t>60090223021</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系统工程理论与方法</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50090223011</w:t>
            </w:r>
          </w:p>
        </w:tc>
        <w:tc>
          <w:tcPr>
            <w:tcW w:w="127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数字建造技术</w:t>
            </w:r>
          </w:p>
        </w:tc>
        <w:tc>
          <w:tcPr>
            <w:tcW w:w="708"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36</w:t>
            </w:r>
          </w:p>
        </w:tc>
        <w:tc>
          <w:tcPr>
            <w:tcW w:w="708" w:type="dxa"/>
            <w:shd w:val="clear" w:color="auto" w:fill="auto"/>
            <w:tcMar>
              <w:top w:w="85" w:type="dxa"/>
              <w:left w:w="57" w:type="dxa"/>
              <w:bottom w:w="85" w:type="dxa"/>
              <w:right w:w="57" w:type="dxa"/>
            </w:tcMar>
            <w:vAlign w:val="center"/>
          </w:tcPr>
          <w:p>
            <w:pPr>
              <w:jc w:val="center"/>
              <w:rPr>
                <w:kern w:val="0"/>
                <w:sz w:val="22"/>
              </w:rPr>
            </w:pPr>
          </w:p>
        </w:tc>
        <w:tc>
          <w:tcPr>
            <w:tcW w:w="566"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709"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2</w:t>
            </w:r>
          </w:p>
        </w:tc>
        <w:tc>
          <w:tcPr>
            <w:tcW w:w="1135" w:type="dxa"/>
            <w:shd w:val="clear" w:color="auto" w:fill="auto"/>
            <w:tcMar>
              <w:top w:w="85" w:type="dxa"/>
              <w:left w:w="57" w:type="dxa"/>
              <w:bottom w:w="85"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shd w:val="clear" w:color="auto" w:fill="auto"/>
            <w:tcMar>
              <w:top w:w="57" w:type="dxa"/>
              <w:left w:w="57" w:type="dxa"/>
              <w:bottom w:w="57" w:type="dxa"/>
              <w:right w:w="57" w:type="dxa"/>
            </w:tcMar>
            <w:vAlign w:val="center"/>
          </w:tcPr>
          <w:p>
            <w:pPr>
              <w:widowControl/>
              <w:ind w:right="-105" w:rightChars="-50"/>
              <w:jc w:val="center"/>
              <w:rPr>
                <w:rFonts w:ascii="Times New Roman" w:hAnsi="Times New Roman" w:eastAsia="宋体" w:cs="Times New Roman"/>
                <w:kern w:val="0"/>
                <w:sz w:val="22"/>
              </w:rPr>
            </w:pPr>
          </w:p>
          <w:p>
            <w:pPr>
              <w:widowControl/>
              <w:ind w:left="-105" w:leftChars="-50" w:right="-105" w:rightChars="-50"/>
              <w:jc w:val="center"/>
              <w:rPr>
                <w:rFonts w:ascii="Times New Roman" w:hAnsi="Times New Roman" w:eastAsia="宋体" w:cs="Times New Roman"/>
                <w:kern w:val="0"/>
                <w:sz w:val="22"/>
              </w:rPr>
            </w:pPr>
          </w:p>
          <w:p>
            <w:pPr>
              <w:widowControl/>
              <w:ind w:left="-105" w:leftChars="-50" w:right="-105" w:rightChars="-50"/>
              <w:jc w:val="center"/>
              <w:rPr>
                <w:rFonts w:ascii="Times New Roman" w:hAnsi="Times New Roman" w:eastAsia="宋体" w:cs="Times New Roman"/>
                <w:kern w:val="0"/>
                <w:sz w:val="22"/>
              </w:rPr>
            </w:pPr>
            <w:r>
              <w:rPr>
                <w:rFonts w:ascii="Times New Roman" w:hAnsi="Times New Roman" w:eastAsia="宋体" w:cs="Times New Roman"/>
                <w:kern w:val="0"/>
                <w:sz w:val="22"/>
              </w:rPr>
              <w:t>选修课</w:t>
            </w:r>
          </w:p>
          <w:p>
            <w:pPr>
              <w:widowControl/>
              <w:ind w:left="-105" w:leftChars="-50" w:right="-105" w:rightChars="-50"/>
              <w:jc w:val="center"/>
              <w:rPr>
                <w:rFonts w:ascii="Times New Roman" w:hAnsi="Times New Roman" w:eastAsia="宋体" w:cs="Times New Roman"/>
                <w:kern w:val="0"/>
                <w:sz w:val="22"/>
              </w:rPr>
            </w:pPr>
            <w:r>
              <w:rPr>
                <w:rFonts w:ascii="Times New Roman" w:hAnsi="Times New Roman" w:eastAsia="宋体" w:cs="Times New Roman"/>
                <w:kern w:val="0"/>
                <w:sz w:val="22"/>
              </w:rPr>
              <w:t>（</w:t>
            </w:r>
            <w:r>
              <w:rPr>
                <w:rFonts w:hint="eastAsia" w:ascii="Times New Roman" w:hAnsi="Times New Roman" w:eastAsia="宋体" w:cs="Times New Roman"/>
                <w:kern w:val="0"/>
                <w:sz w:val="22"/>
              </w:rPr>
              <w:t>10</w:t>
            </w:r>
            <w:r>
              <w:rPr>
                <w:rFonts w:ascii="Times New Roman" w:hAnsi="Times New Roman" w:eastAsia="宋体" w:cs="Times New Roman"/>
                <w:kern w:val="0"/>
                <w:sz w:val="22"/>
              </w:rPr>
              <w:t>学分）</w:t>
            </w:r>
          </w:p>
          <w:p>
            <w:pPr>
              <w:widowControl/>
              <w:ind w:left="-105" w:leftChars="-50" w:right="-105" w:rightChars="-50"/>
              <w:jc w:val="center"/>
              <w:rPr>
                <w:rFonts w:ascii="Times New Roman" w:hAnsi="Times New Roman" w:eastAsia="宋体" w:cs="Times New Roman"/>
                <w:kern w:val="0"/>
                <w:sz w:val="22"/>
              </w:rPr>
            </w:pPr>
          </w:p>
          <w:p>
            <w:pPr>
              <w:widowControl/>
              <w:ind w:left="-105" w:leftChars="-50" w:right="-105" w:rightChars="-50"/>
              <w:jc w:val="center"/>
              <w:rPr>
                <w:rFonts w:ascii="Times New Roman" w:hAnsi="Times New Roman" w:eastAsia="宋体" w:cs="Times New Roman"/>
                <w:kern w:val="0"/>
                <w:sz w:val="22"/>
              </w:rPr>
            </w:pPr>
          </w:p>
        </w:tc>
        <w:tc>
          <w:tcPr>
            <w:tcW w:w="6965" w:type="dxa"/>
            <w:gridSpan w:val="8"/>
            <w:shd w:val="clear" w:color="auto" w:fill="auto"/>
            <w:tcMar>
              <w:top w:w="28" w:type="dxa"/>
              <w:left w:w="57" w:type="dxa"/>
              <w:bottom w:w="45" w:type="dxa"/>
              <w:right w:w="57" w:type="dxa"/>
            </w:tcMar>
            <w:vAlign w:val="center"/>
          </w:tcPr>
          <w:p>
            <w:pPr>
              <w:jc w:val="center"/>
              <w:rPr>
                <w:kern w:val="0"/>
                <w:sz w:val="22"/>
              </w:rPr>
            </w:pPr>
            <w:r>
              <w:rPr>
                <w:rFonts w:hint="eastAsia"/>
                <w:kern w:val="0"/>
                <w:sz w:val="22"/>
              </w:rPr>
              <w:t>可任意选修各学院开设的研究生课程、本科生课程（具体课程清单见附件，选修本科生课程不计入总学分），至少含专业外语、1门实验课、1门文史哲艺美类课程。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restart"/>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必修</w:t>
            </w:r>
          </w:p>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环节</w:t>
            </w:r>
          </w:p>
          <w:p>
            <w:pPr>
              <w:widowControl/>
              <w:jc w:val="center"/>
              <w:rPr>
                <w:rFonts w:ascii="Times New Roman" w:hAnsi="Times New Roman" w:eastAsia="宋体" w:cs="Times New Roman"/>
                <w:kern w:val="0"/>
                <w:sz w:val="22"/>
              </w:rPr>
            </w:pPr>
            <w:r>
              <w:rPr>
                <w:rFonts w:ascii="Times New Roman" w:hAnsi="Times New Roman" w:eastAsia="宋体" w:cs="Times New Roman"/>
                <w:kern w:val="0"/>
                <w:sz w:val="22"/>
              </w:rPr>
              <w:t>（7学分）</w:t>
            </w:r>
          </w:p>
        </w:tc>
        <w:tc>
          <w:tcPr>
            <w:tcW w:w="1108"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50090623001</w:t>
            </w:r>
          </w:p>
        </w:tc>
        <w:tc>
          <w:tcPr>
            <w:tcW w:w="1276"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专硕选题报告</w:t>
            </w:r>
          </w:p>
        </w:tc>
        <w:tc>
          <w:tcPr>
            <w:tcW w:w="708" w:type="dxa"/>
            <w:shd w:val="clear" w:color="auto" w:fill="auto"/>
            <w:tcMar>
              <w:top w:w="11" w:type="dxa"/>
              <w:left w:w="57" w:type="dxa"/>
              <w:bottom w:w="11" w:type="dxa"/>
              <w:right w:w="57" w:type="dxa"/>
            </w:tcMar>
            <w:vAlign w:val="center"/>
          </w:tcPr>
          <w:p>
            <w:pPr>
              <w:jc w:val="center"/>
              <w:rPr>
                <w:kern w:val="0"/>
                <w:sz w:val="22"/>
              </w:rPr>
            </w:pPr>
          </w:p>
        </w:tc>
        <w:tc>
          <w:tcPr>
            <w:tcW w:w="708" w:type="dxa"/>
            <w:shd w:val="clear" w:color="auto" w:fill="auto"/>
            <w:tcMar>
              <w:top w:w="11" w:type="dxa"/>
              <w:left w:w="57" w:type="dxa"/>
              <w:bottom w:w="11" w:type="dxa"/>
              <w:right w:w="57" w:type="dxa"/>
            </w:tcMar>
            <w:vAlign w:val="center"/>
          </w:tcPr>
          <w:p>
            <w:pPr>
              <w:jc w:val="center"/>
              <w:rPr>
                <w:kern w:val="0"/>
                <w:sz w:val="22"/>
              </w:rPr>
            </w:pPr>
          </w:p>
        </w:tc>
        <w:tc>
          <w:tcPr>
            <w:tcW w:w="566"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1</w:t>
            </w:r>
          </w:p>
        </w:tc>
        <w:tc>
          <w:tcPr>
            <w:tcW w:w="709"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3</w:t>
            </w:r>
          </w:p>
        </w:tc>
        <w:tc>
          <w:tcPr>
            <w:tcW w:w="1135"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50090623002</w:t>
            </w:r>
          </w:p>
        </w:tc>
        <w:tc>
          <w:tcPr>
            <w:tcW w:w="1276"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专硕课程实践</w:t>
            </w:r>
          </w:p>
        </w:tc>
        <w:tc>
          <w:tcPr>
            <w:tcW w:w="708" w:type="dxa"/>
            <w:shd w:val="clear" w:color="auto" w:fill="auto"/>
            <w:tcMar>
              <w:top w:w="11" w:type="dxa"/>
              <w:left w:w="57" w:type="dxa"/>
              <w:bottom w:w="11" w:type="dxa"/>
              <w:right w:w="57" w:type="dxa"/>
            </w:tcMar>
            <w:vAlign w:val="center"/>
          </w:tcPr>
          <w:p>
            <w:pPr>
              <w:jc w:val="center"/>
              <w:rPr>
                <w:kern w:val="0"/>
                <w:sz w:val="22"/>
              </w:rPr>
            </w:pPr>
          </w:p>
        </w:tc>
        <w:tc>
          <w:tcPr>
            <w:tcW w:w="708" w:type="dxa"/>
            <w:shd w:val="clear" w:color="auto" w:fill="auto"/>
            <w:tcMar>
              <w:top w:w="11" w:type="dxa"/>
              <w:left w:w="57" w:type="dxa"/>
              <w:bottom w:w="11" w:type="dxa"/>
              <w:right w:w="57" w:type="dxa"/>
            </w:tcMar>
            <w:vAlign w:val="center"/>
          </w:tcPr>
          <w:p>
            <w:pPr>
              <w:jc w:val="center"/>
              <w:rPr>
                <w:kern w:val="0"/>
                <w:sz w:val="22"/>
              </w:rPr>
            </w:pPr>
          </w:p>
        </w:tc>
        <w:tc>
          <w:tcPr>
            <w:tcW w:w="566"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3</w:t>
            </w:r>
          </w:p>
        </w:tc>
        <w:tc>
          <w:tcPr>
            <w:tcW w:w="709"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3</w:t>
            </w:r>
          </w:p>
        </w:tc>
        <w:tc>
          <w:tcPr>
            <w:tcW w:w="1135"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39" w:type="dxa"/>
            <w:gridSpan w:val="2"/>
            <w:vMerge w:val="continue"/>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c>
          <w:tcPr>
            <w:tcW w:w="1108"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50090623003</w:t>
            </w:r>
          </w:p>
        </w:tc>
        <w:tc>
          <w:tcPr>
            <w:tcW w:w="1276"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专硕综合实践</w:t>
            </w:r>
          </w:p>
        </w:tc>
        <w:tc>
          <w:tcPr>
            <w:tcW w:w="708" w:type="dxa"/>
            <w:shd w:val="clear" w:color="auto" w:fill="auto"/>
            <w:tcMar>
              <w:top w:w="11" w:type="dxa"/>
              <w:left w:w="57" w:type="dxa"/>
              <w:bottom w:w="11" w:type="dxa"/>
              <w:right w:w="57" w:type="dxa"/>
            </w:tcMar>
            <w:vAlign w:val="center"/>
          </w:tcPr>
          <w:p>
            <w:pPr>
              <w:jc w:val="center"/>
              <w:rPr>
                <w:kern w:val="0"/>
                <w:sz w:val="22"/>
              </w:rPr>
            </w:pPr>
          </w:p>
        </w:tc>
        <w:tc>
          <w:tcPr>
            <w:tcW w:w="708" w:type="dxa"/>
            <w:shd w:val="clear" w:color="auto" w:fill="auto"/>
            <w:tcMar>
              <w:top w:w="11" w:type="dxa"/>
              <w:left w:w="57" w:type="dxa"/>
              <w:bottom w:w="11" w:type="dxa"/>
              <w:right w:w="57" w:type="dxa"/>
            </w:tcMar>
            <w:vAlign w:val="center"/>
          </w:tcPr>
          <w:p>
            <w:pPr>
              <w:jc w:val="center"/>
              <w:rPr>
                <w:kern w:val="0"/>
                <w:sz w:val="22"/>
              </w:rPr>
            </w:pPr>
          </w:p>
        </w:tc>
        <w:tc>
          <w:tcPr>
            <w:tcW w:w="566"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3</w:t>
            </w:r>
          </w:p>
        </w:tc>
        <w:tc>
          <w:tcPr>
            <w:tcW w:w="709"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3-4</w:t>
            </w:r>
          </w:p>
        </w:tc>
        <w:tc>
          <w:tcPr>
            <w:tcW w:w="1135" w:type="dxa"/>
            <w:shd w:val="clear" w:color="auto" w:fill="auto"/>
            <w:tcMar>
              <w:top w:w="11" w:type="dxa"/>
              <w:left w:w="57" w:type="dxa"/>
              <w:bottom w:w="11" w:type="dxa"/>
              <w:right w:w="57" w:type="dxa"/>
            </w:tcMar>
            <w:vAlign w:val="center"/>
          </w:tcPr>
          <w:p>
            <w:pPr>
              <w:jc w:val="center"/>
              <w:rPr>
                <w:kern w:val="0"/>
                <w:sz w:val="22"/>
              </w:rPr>
            </w:pPr>
            <w:r>
              <w:rPr>
                <w:rFonts w:hint="eastAsia"/>
                <w:kern w:val="0"/>
                <w:sz w:val="22"/>
              </w:rPr>
              <w:t>土建学院</w:t>
            </w:r>
          </w:p>
        </w:tc>
        <w:tc>
          <w:tcPr>
            <w:tcW w:w="755" w:type="dxa"/>
            <w:shd w:val="clear" w:color="auto" w:fill="auto"/>
            <w:tcMar>
              <w:top w:w="57" w:type="dxa"/>
              <w:left w:w="57" w:type="dxa"/>
              <w:bottom w:w="57" w:type="dxa"/>
              <w:right w:w="57" w:type="dxa"/>
            </w:tcMar>
            <w:vAlign w:val="center"/>
          </w:tcPr>
          <w:p>
            <w:pPr>
              <w:widowControl/>
              <w:jc w:val="center"/>
              <w:rPr>
                <w:rFonts w:ascii="Times New Roman" w:hAnsi="Times New Roman" w:eastAsia="宋体" w:cs="Times New Roman"/>
                <w:kern w:val="0"/>
                <w:sz w:val="22"/>
              </w:rPr>
            </w:pPr>
          </w:p>
        </w:tc>
      </w:tr>
    </w:tbl>
    <w:p>
      <w:pPr>
        <w:keepNext/>
        <w:keepLines/>
        <w:spacing w:before="156" w:beforeLines="50" w:after="156" w:afterLines="50" w:line="400" w:lineRule="exact"/>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五、必修环节</w:t>
      </w:r>
    </w:p>
    <w:p>
      <w:pPr>
        <w:adjustRightInd w:val="0"/>
        <w:snapToGrid w:val="0"/>
        <w:spacing w:line="400" w:lineRule="exact"/>
        <w:ind w:firstLine="480" w:firstLineChars="200"/>
        <w:textAlignment w:val="baseline"/>
        <w:rPr>
          <w:rFonts w:ascii="Times New Roman" w:hAnsi="Times New Roman" w:eastAsia="宋体" w:cs="宋体"/>
          <w:bCs/>
          <w:sz w:val="24"/>
          <w:szCs w:val="24"/>
        </w:rPr>
      </w:pPr>
      <w:r>
        <w:rPr>
          <w:rFonts w:hint="eastAsia" w:ascii="Times New Roman" w:hAnsi="Times New Roman" w:eastAsia="宋体" w:cs="宋体"/>
          <w:bCs/>
          <w:sz w:val="24"/>
          <w:szCs w:val="24"/>
        </w:rPr>
        <w:t>（一）专业实践</w:t>
      </w:r>
    </w:p>
    <w:p>
      <w:pPr>
        <w:spacing w:line="400" w:lineRule="exact"/>
        <w:ind w:firstLine="480" w:firstLineChars="200"/>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rPr>
        <w:t>土木水利</w:t>
      </w:r>
      <w:r>
        <w:rPr>
          <w:rFonts w:hint="eastAsia"/>
          <w:sz w:val="24"/>
        </w:rPr>
        <w:t>硕士</w:t>
      </w:r>
      <w:r>
        <w:rPr>
          <w:rFonts w:hint="eastAsia"/>
          <w:bCs/>
          <w:sz w:val="24"/>
        </w:rPr>
        <w:t>专业学位</w:t>
      </w:r>
      <w:r>
        <w:rPr>
          <w:rFonts w:ascii="Times New Roman" w:hAnsi="Times New Roman" w:eastAsia="宋体" w:cs="Times New Roman"/>
          <w:sz w:val="24"/>
          <w:szCs w:val="24"/>
        </w:rPr>
        <w:t>研究生在学期间，必须保证不少于半年的</w:t>
      </w:r>
      <w:r>
        <w:rPr>
          <w:rFonts w:hint="eastAsia" w:ascii="Times New Roman" w:hAnsi="Times New Roman" w:eastAsia="宋体" w:cs="Times New Roman"/>
          <w:sz w:val="24"/>
          <w:szCs w:val="24"/>
        </w:rPr>
        <w:t>专业</w:t>
      </w:r>
      <w:r>
        <w:rPr>
          <w:rFonts w:ascii="Times New Roman" w:hAnsi="Times New Roman" w:eastAsia="宋体" w:cs="Times New Roman"/>
          <w:sz w:val="24"/>
          <w:szCs w:val="24"/>
        </w:rPr>
        <w:t>实践，可采用集中实践与分段实践相结合的方式，应届本科毕业生的实践教学时间原则上不少于1年。一般依托本专业领域的</w:t>
      </w:r>
      <w:r>
        <w:rPr>
          <w:rFonts w:hint="eastAsia" w:ascii="Times New Roman" w:hAnsi="Times New Roman" w:eastAsia="宋体" w:cs="Times New Roman"/>
          <w:sz w:val="24"/>
          <w:szCs w:val="24"/>
        </w:rPr>
        <w:t>国家级研究生联合培养示范基地，省级</w:t>
      </w:r>
      <w:r>
        <w:rPr>
          <w:rFonts w:ascii="Times New Roman" w:hAnsi="Times New Roman" w:eastAsia="宋体" w:cs="Times New Roman"/>
          <w:sz w:val="24"/>
          <w:szCs w:val="24"/>
        </w:rPr>
        <w:t>、</w:t>
      </w:r>
      <w:r>
        <w:rPr>
          <w:rFonts w:hint="eastAsia" w:ascii="Times New Roman" w:hAnsi="Times New Roman" w:eastAsia="宋体" w:cs="Times New Roman"/>
          <w:sz w:val="24"/>
          <w:szCs w:val="24"/>
        </w:rPr>
        <w:t>校级</w:t>
      </w:r>
      <w:r>
        <w:rPr>
          <w:rFonts w:ascii="Times New Roman" w:hAnsi="Times New Roman" w:eastAsia="宋体" w:cs="Times New Roman"/>
          <w:sz w:val="24"/>
          <w:szCs w:val="24"/>
        </w:rPr>
        <w:t>、院级、培育</w:t>
      </w:r>
      <w:r>
        <w:rPr>
          <w:rFonts w:hint="eastAsia" w:ascii="Times New Roman" w:hAnsi="Times New Roman" w:eastAsia="宋体" w:cs="Times New Roman"/>
          <w:sz w:val="24"/>
          <w:szCs w:val="24"/>
        </w:rPr>
        <w:t>级</w:t>
      </w:r>
      <w:r>
        <w:rPr>
          <w:rFonts w:ascii="Times New Roman" w:hAnsi="Times New Roman" w:eastAsia="宋体" w:cs="Times New Roman"/>
          <w:sz w:val="24"/>
          <w:szCs w:val="24"/>
        </w:rPr>
        <w:t>研究生工作站，海南研究院、仙湖实验室、襄阳示范区等完成</w:t>
      </w:r>
      <w:r>
        <w:rPr>
          <w:rFonts w:hint="eastAsia" w:ascii="Times New Roman" w:hAnsi="Times New Roman" w:eastAsia="宋体" w:cs="Times New Roman"/>
          <w:sz w:val="24"/>
          <w:szCs w:val="24"/>
        </w:rPr>
        <w:t>。</w:t>
      </w:r>
    </w:p>
    <w:p>
      <w:pPr>
        <w:spacing w:line="400" w:lineRule="exact"/>
        <w:ind w:firstLine="484" w:firstLineChars="200"/>
        <w:textAlignment w:val="baseline"/>
        <w:rPr>
          <w:rFonts w:ascii="Times New Roman" w:hAnsi="Times New Roman" w:eastAsia="宋体" w:cs="Times New Roman"/>
          <w:kern w:val="0"/>
          <w:sz w:val="24"/>
          <w:szCs w:val="24"/>
        </w:rPr>
      </w:pPr>
      <w:r>
        <w:rPr>
          <w:rFonts w:ascii="Times New Roman" w:hAnsi="Times New Roman" w:eastAsia="宋体" w:cs="Times New Roman"/>
          <w:bCs/>
          <w:spacing w:val="1"/>
          <w:sz w:val="24"/>
          <w:szCs w:val="24"/>
        </w:rPr>
        <w:t>专业学位硕士研究生</w:t>
      </w:r>
      <w:r>
        <w:rPr>
          <w:rFonts w:ascii="Times New Roman" w:hAnsi="Times New Roman" w:eastAsia="宋体" w:cs="Times New Roman"/>
          <w:spacing w:val="1"/>
          <w:sz w:val="24"/>
          <w:szCs w:val="24"/>
        </w:rPr>
        <w:t>的</w:t>
      </w:r>
      <w:r>
        <w:rPr>
          <w:rFonts w:hint="eastAsia" w:ascii="Times New Roman" w:hAnsi="Times New Roman" w:eastAsia="宋体" w:cs="Times New Roman"/>
          <w:sz w:val="24"/>
          <w:szCs w:val="24"/>
        </w:rPr>
        <w:t>专业实践</w:t>
      </w:r>
      <w:r>
        <w:rPr>
          <w:rFonts w:ascii="Times New Roman" w:hAnsi="Times New Roman" w:eastAsia="宋体" w:cs="Times New Roman"/>
          <w:sz w:val="24"/>
          <w:szCs w:val="24"/>
        </w:rPr>
        <w:t>一般分为课程实践和</w:t>
      </w:r>
      <w:r>
        <w:rPr>
          <w:rFonts w:ascii="Times New Roman" w:hAnsi="Times New Roman" w:eastAsia="宋体" w:cs="Times New Roman"/>
          <w:kern w:val="0"/>
          <w:sz w:val="24"/>
          <w:szCs w:val="24"/>
        </w:rPr>
        <w:t>综合实践两部分。</w:t>
      </w:r>
    </w:p>
    <w:p>
      <w:pPr>
        <w:spacing w:line="400" w:lineRule="exact"/>
        <w:ind w:firstLine="480" w:firstLineChars="200"/>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rPr>
        <w:t>课程实践主要进行专业课程实践和科研技能训练，其中实验室安全培训为课程实践的必修内容，课程实践一般依托学校未来学习中心完成，课程实践合格者记3学分。</w:t>
      </w:r>
    </w:p>
    <w:p>
      <w:pPr>
        <w:spacing w:line="400" w:lineRule="exact"/>
        <w:ind w:firstLine="480" w:firstLineChars="200"/>
        <w:textAlignment w:val="baseline"/>
        <w:rPr>
          <w:rFonts w:ascii="Times New Roman" w:hAnsi="Times New Roman" w:eastAsia="宋体" w:cs="Times New Roman"/>
          <w:kern w:val="0"/>
          <w:sz w:val="24"/>
          <w:szCs w:val="24"/>
        </w:rPr>
      </w:pPr>
      <w:r>
        <w:rPr>
          <w:rFonts w:ascii="Times New Roman" w:hAnsi="Times New Roman" w:eastAsia="宋体" w:cs="Times New Roman"/>
          <w:sz w:val="24"/>
          <w:szCs w:val="24"/>
        </w:rPr>
        <w:t>综合实践在校内外导师的共同指导下，结合工程实际岗位，主要进行专业综合实践和应用能力训练，综合实践合格者记3学分。课程实践和</w:t>
      </w:r>
      <w:r>
        <w:rPr>
          <w:rFonts w:hint="eastAsia" w:ascii="Times New Roman" w:hAnsi="Times New Roman" w:eastAsia="宋体" w:cs="Times New Roman"/>
          <w:sz w:val="24"/>
          <w:szCs w:val="24"/>
        </w:rPr>
        <w:t>综合</w:t>
      </w:r>
      <w:r>
        <w:rPr>
          <w:rFonts w:ascii="Times New Roman" w:hAnsi="Times New Roman" w:eastAsia="宋体" w:cs="Times New Roman"/>
          <w:sz w:val="24"/>
          <w:szCs w:val="24"/>
        </w:rPr>
        <w:t>实践也可合并进行。</w:t>
      </w:r>
    </w:p>
    <w:p>
      <w:pPr>
        <w:spacing w:line="400" w:lineRule="exact"/>
        <w:ind w:firstLine="480" w:firstLineChars="200"/>
        <w:textAlignment w:val="baseline"/>
        <w:rPr>
          <w:rFonts w:ascii="Times New Roman" w:hAnsi="Times New Roman" w:eastAsia="宋体" w:cs="Times New Roman"/>
          <w:sz w:val="24"/>
          <w:szCs w:val="24"/>
        </w:rPr>
      </w:pPr>
      <w:r>
        <w:rPr>
          <w:rFonts w:hint="eastAsia" w:ascii="Times New Roman" w:hAnsi="Times New Roman" w:eastAsia="宋体" w:cs="Times New Roman"/>
          <w:sz w:val="24"/>
          <w:szCs w:val="24"/>
        </w:rPr>
        <w:t>专业实践</w:t>
      </w:r>
      <w:r>
        <w:rPr>
          <w:rFonts w:ascii="Times New Roman" w:hAnsi="Times New Roman" w:eastAsia="宋体" w:cs="Times New Roman"/>
          <w:sz w:val="24"/>
          <w:szCs w:val="24"/>
        </w:rPr>
        <w:t>是专业学位硕士研究生培养过程的必备过程，研究生要提交实践计划，撰写实践总结报告。对研究生实践环节实行全过程管理和质量评价，确保实践教学质量。</w:t>
      </w:r>
    </w:p>
    <w:p>
      <w:pPr>
        <w:spacing w:line="400" w:lineRule="exact"/>
        <w:ind w:firstLine="480" w:firstLineChars="200"/>
        <w:textAlignment w:val="baseline"/>
        <w:rPr>
          <w:rFonts w:ascii="Times New Roman" w:hAnsi="Times New Roman" w:eastAsia="宋体" w:cs="Times New Roman"/>
          <w:sz w:val="24"/>
          <w:szCs w:val="24"/>
        </w:rPr>
      </w:pPr>
      <w:r>
        <w:rPr>
          <w:rFonts w:hint="eastAsia" w:ascii="宋体" w:hAnsi="宋体" w:eastAsia="宋体" w:cs="宋体"/>
          <w:sz w:val="24"/>
          <w:szCs w:val="24"/>
        </w:rPr>
        <w:t>※</w:t>
      </w:r>
      <w:r>
        <w:rPr>
          <w:rFonts w:hint="eastAsia" w:ascii="Times New Roman" w:hAnsi="Times New Roman" w:eastAsia="宋体" w:cs="Times New Roman"/>
          <w:sz w:val="24"/>
          <w:szCs w:val="24"/>
        </w:rPr>
        <w:t>定向培养</w:t>
      </w:r>
      <w:r>
        <w:rPr>
          <w:rFonts w:ascii="Times New Roman" w:hAnsi="Times New Roman" w:eastAsia="宋体" w:cs="Times New Roman"/>
          <w:sz w:val="24"/>
          <w:szCs w:val="24"/>
        </w:rPr>
        <w:t>研究生</w:t>
      </w:r>
      <w:r>
        <w:rPr>
          <w:rFonts w:hint="eastAsia" w:ascii="Times New Roman" w:hAnsi="Times New Roman" w:eastAsia="宋体" w:cs="Times New Roman"/>
          <w:sz w:val="24"/>
          <w:szCs w:val="24"/>
        </w:rPr>
        <w:t>、来华留学生</w:t>
      </w:r>
      <w:r>
        <w:rPr>
          <w:rFonts w:ascii="Times New Roman" w:hAnsi="Times New Roman" w:eastAsia="宋体" w:cs="Times New Roman"/>
          <w:sz w:val="24"/>
          <w:szCs w:val="24"/>
        </w:rPr>
        <w:t>可免修</w:t>
      </w:r>
      <w:r>
        <w:rPr>
          <w:rFonts w:hint="eastAsia" w:ascii="Times New Roman" w:hAnsi="Times New Roman" w:eastAsia="宋体" w:cs="Times New Roman"/>
          <w:sz w:val="24"/>
          <w:szCs w:val="24"/>
        </w:rPr>
        <w:t>专业实践</w:t>
      </w:r>
      <w:r>
        <w:rPr>
          <w:rFonts w:ascii="Times New Roman" w:hAnsi="Times New Roman" w:eastAsia="宋体" w:cs="Times New Roman"/>
          <w:sz w:val="24"/>
          <w:szCs w:val="24"/>
        </w:rPr>
        <w:t>，所缺学分须通过选修课程补齐。</w:t>
      </w:r>
    </w:p>
    <w:p>
      <w:pPr>
        <w:spacing w:line="400" w:lineRule="exact"/>
        <w:ind w:firstLine="484" w:firstLineChars="200"/>
        <w:textAlignment w:val="baseline"/>
        <w:rPr>
          <w:rFonts w:ascii="Times New Roman" w:hAnsi="Times New Roman" w:eastAsia="宋体" w:cs="宋体"/>
          <w:spacing w:val="1"/>
          <w:sz w:val="24"/>
          <w:szCs w:val="24"/>
        </w:rPr>
      </w:pPr>
      <w:r>
        <w:rPr>
          <w:rFonts w:hint="eastAsia" w:ascii="Times New Roman" w:hAnsi="Times New Roman" w:eastAsia="宋体" w:cs="宋体"/>
          <w:spacing w:val="1"/>
          <w:sz w:val="24"/>
          <w:szCs w:val="24"/>
        </w:rPr>
        <w:t>（二）</w:t>
      </w:r>
      <w:r>
        <w:rPr>
          <w:rFonts w:ascii="Times New Roman" w:hAnsi="Times New Roman" w:eastAsia="宋体" w:cs="Times New Roman"/>
          <w:bCs/>
          <w:sz w:val="24"/>
          <w:szCs w:val="24"/>
        </w:rPr>
        <w:t>选</w:t>
      </w:r>
      <w:r>
        <w:rPr>
          <w:rFonts w:hint="eastAsia" w:ascii="Times New Roman" w:hAnsi="Times New Roman" w:eastAsia="宋体" w:cs="宋体"/>
          <w:spacing w:val="1"/>
          <w:sz w:val="24"/>
          <w:szCs w:val="24"/>
        </w:rPr>
        <w:t>题报告</w:t>
      </w:r>
    </w:p>
    <w:p>
      <w:pPr>
        <w:spacing w:line="400" w:lineRule="exact"/>
        <w:ind w:firstLine="484" w:firstLineChars="200"/>
        <w:rPr>
          <w:spacing w:val="1"/>
          <w:sz w:val="24"/>
        </w:rPr>
      </w:pPr>
      <w:r>
        <w:rPr>
          <w:rFonts w:hint="eastAsia"/>
          <w:spacing w:val="1"/>
          <w:sz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spacing w:val="1"/>
          <w:sz w:val="24"/>
        </w:rPr>
        <w:t>12</w:t>
      </w:r>
      <w:r>
        <w:rPr>
          <w:rFonts w:hint="eastAsia"/>
          <w:spacing w:val="1"/>
          <w:sz w:val="24"/>
        </w:rPr>
        <w:t>个月。</w:t>
      </w:r>
    </w:p>
    <w:p>
      <w:pPr>
        <w:spacing w:line="400" w:lineRule="exact"/>
        <w:ind w:firstLine="480" w:firstLineChars="200"/>
        <w:rPr>
          <w:spacing w:val="1"/>
          <w:sz w:val="24"/>
        </w:rPr>
      </w:pPr>
      <w:r>
        <w:rPr>
          <w:rFonts w:hint="eastAsia"/>
          <w:sz w:val="24"/>
        </w:rPr>
        <w:t>专业学位硕士研究生</w:t>
      </w:r>
      <w:r>
        <w:rPr>
          <w:sz w:val="24"/>
        </w:rPr>
        <w:t>选题报告的具体要求，按照学校研究生开题管理有关规定要求执行。选题报告通过后记1个必修环节学分。</w:t>
      </w:r>
    </w:p>
    <w:p>
      <w:pPr>
        <w:keepNext/>
        <w:keepLines/>
        <w:spacing w:before="156" w:beforeLines="50" w:after="156" w:afterLines="50" w:line="400" w:lineRule="exact"/>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六、科学研究与学位论文</w:t>
      </w:r>
    </w:p>
    <w:p>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（一）科学研究</w:t>
      </w:r>
    </w:p>
    <w:p>
      <w:pPr>
        <w:autoSpaceDE w:val="0"/>
        <w:autoSpaceDN w:val="0"/>
        <w:adjustRightInd w:val="0"/>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sz w:val="24"/>
          <w:szCs w:val="24"/>
        </w:rPr>
        <w:t>土木水利</w:t>
      </w:r>
      <w:r>
        <w:rPr>
          <w:rFonts w:hint="eastAsia"/>
          <w:sz w:val="24"/>
        </w:rPr>
        <w:t>硕士</w:t>
      </w:r>
      <w:r>
        <w:rPr>
          <w:rFonts w:hint="eastAsia"/>
          <w:bCs/>
          <w:sz w:val="24"/>
        </w:rPr>
        <w:t>专业学位</w:t>
      </w:r>
      <w:r>
        <w:rPr>
          <w:sz w:val="24"/>
        </w:rPr>
        <w:t>研究生</w:t>
      </w:r>
      <w:r>
        <w:rPr>
          <w:rFonts w:hint="eastAsia" w:hAnsi="宋体"/>
          <w:kern w:val="0"/>
          <w:sz w:val="24"/>
        </w:rPr>
        <w:t>须在导师的指导下，依托相应的科研项目、科研条件和科研设施，开展科研工作，</w:t>
      </w:r>
      <w:r>
        <w:rPr>
          <w:rFonts w:hint="eastAsia" w:ascii="Times New Roman" w:hAnsi="Times New Roman" w:eastAsia="宋体" w:cs="Times New Roman"/>
          <w:bCs/>
          <w:sz w:val="24"/>
          <w:szCs w:val="24"/>
        </w:rPr>
        <w:t>参与工程实践</w:t>
      </w:r>
      <w:r>
        <w:rPr>
          <w:rFonts w:hint="eastAsia" w:hAnsi="宋体"/>
          <w:kern w:val="0"/>
          <w:sz w:val="24"/>
        </w:rPr>
        <w:t>，培养独立进行科学研究的能力或独立承担专门技术工作的能力。</w:t>
      </w:r>
      <w:r>
        <w:rPr>
          <w:rFonts w:hint="eastAsia" w:ascii="Times New Roman" w:hAnsi="Times New Roman" w:eastAsia="宋体" w:cs="Times New Roman"/>
          <w:bCs/>
          <w:sz w:val="24"/>
          <w:szCs w:val="24"/>
        </w:rPr>
        <w:t>在答辩前需发表与领域相关的学术论文，或取得其他相应的学术成果。</w:t>
      </w:r>
    </w:p>
    <w:p>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（二）学位论文</w:t>
      </w:r>
    </w:p>
    <w:p>
      <w:pPr>
        <w:spacing w:line="400" w:lineRule="exact"/>
        <w:ind w:firstLine="480" w:firstLineChars="200"/>
        <w:textAlignment w:val="baseline"/>
        <w:rPr>
          <w:bCs/>
          <w:spacing w:val="1"/>
          <w:sz w:val="24"/>
        </w:rPr>
      </w:pPr>
      <w:r>
        <w:rPr>
          <w:rFonts w:hint="eastAsia" w:ascii="Times New Roman" w:hAnsi="Times New Roman" w:eastAsia="宋体" w:cs="Times New Roman"/>
          <w:sz w:val="24"/>
          <w:szCs w:val="24"/>
        </w:rPr>
        <w:t>土木水利</w:t>
      </w:r>
      <w:r>
        <w:rPr>
          <w:rFonts w:ascii="Times New Roman" w:hAnsi="Times New Roman" w:eastAsia="宋体" w:cs="Times New Roman"/>
          <w:bCs/>
          <w:sz w:val="24"/>
          <w:szCs w:val="24"/>
        </w:rPr>
        <w:t>硕士专业学位研究生学位论文形式可以多种多样，可采用硕士学位论文与调研报告、应用基础研究、产品开发、案例分析、项目管理等相结合的形式。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pPr>
        <w:adjustRightInd w:val="0"/>
        <w:snapToGrid w:val="0"/>
        <w:spacing w:line="400" w:lineRule="exact"/>
        <w:ind w:firstLine="480" w:firstLineChars="200"/>
        <w:rPr>
          <w:sz w:val="24"/>
        </w:rPr>
      </w:pPr>
      <w:r>
        <w:rPr>
          <w:rFonts w:hint="eastAsia" w:ascii="Times New Roman" w:hAnsi="Times New Roman" w:eastAsia="宋体" w:cs="Times New Roman"/>
          <w:sz w:val="24"/>
          <w:szCs w:val="24"/>
        </w:rPr>
        <w:t>土木水利</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研究生在硕士学位论文送审前，须满足取得学籍当年学校申请硕士学位学术成果有关规定和土木工程与建筑学院学位与研究生教育有关规定，方可送审。</w:t>
      </w:r>
    </w:p>
    <w:p>
      <w:pPr>
        <w:adjustRightInd w:val="0"/>
        <w:snapToGrid w:val="0"/>
        <w:spacing w:line="400" w:lineRule="exact"/>
        <w:ind w:firstLine="480" w:firstLineChars="200"/>
        <w:rPr>
          <w:sz w:val="24"/>
        </w:rPr>
      </w:pPr>
      <w:r>
        <w:rPr>
          <w:rFonts w:hint="eastAsia" w:ascii="Times New Roman" w:hAnsi="Times New Roman" w:eastAsia="宋体" w:cs="Times New Roman"/>
          <w:sz w:val="24"/>
          <w:szCs w:val="24"/>
        </w:rPr>
        <w:t>土木水利</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pPr>
        <w:adjustRightInd w:val="0"/>
        <w:snapToGrid w:val="0"/>
        <w:spacing w:line="400" w:lineRule="exact"/>
        <w:ind w:firstLine="480" w:firstLineChars="200"/>
        <w:rPr>
          <w:sz w:val="24"/>
        </w:rPr>
      </w:pPr>
      <w:r>
        <w:rPr>
          <w:rFonts w:hint="eastAsia"/>
          <w:sz w:val="24"/>
        </w:rPr>
        <w:t>※ 未尽事宜以研究生取得学籍当年武汉理工大学《研究生手册》和土木工程与建筑学院学位与研究生教育有关规定为准。</w:t>
      </w:r>
    </w:p>
    <w:p>
      <w:pPr>
        <w:keepNext/>
        <w:keepLines/>
        <w:spacing w:before="156" w:beforeLines="50" w:after="156" w:afterLines="50" w:line="400" w:lineRule="exact"/>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七、培养方式与方法</w:t>
      </w:r>
    </w:p>
    <w:p>
      <w:pPr>
        <w:spacing w:line="400" w:lineRule="exact"/>
        <w:ind w:firstLine="480" w:firstLineChars="200"/>
        <w:textAlignment w:val="baseline"/>
        <w:rPr>
          <w:rFonts w:ascii="Times New Roman" w:hAnsi="Times New Roman" w:eastAsia="宋体" w:cs="宋体"/>
          <w:sz w:val="24"/>
          <w:szCs w:val="24"/>
        </w:rPr>
      </w:pPr>
      <w:r>
        <w:rPr>
          <w:rFonts w:hint="eastAsia" w:ascii="Times New Roman" w:hAnsi="Times New Roman" w:eastAsia="宋体" w:cs="Times New Roman"/>
          <w:sz w:val="24"/>
          <w:szCs w:val="24"/>
        </w:rPr>
        <w:t>土木水利硕士专业学位研究生</w:t>
      </w:r>
      <w:r>
        <w:rPr>
          <w:rFonts w:hint="eastAsia" w:ascii="Times New Roman" w:hAnsi="Times New Roman" w:eastAsia="宋体" w:cs="宋体"/>
          <w:sz w:val="24"/>
          <w:szCs w:val="24"/>
        </w:rPr>
        <w:t>培养方式实行全日制和非全日制两种方式。</w:t>
      </w:r>
      <w:r>
        <w:rPr>
          <w:rFonts w:hint="eastAsia" w:ascii="Times New Roman" w:hAnsi="Times New Roman" w:eastAsia="宋体" w:cs="Times New Roman"/>
          <w:sz w:val="24"/>
          <w:szCs w:val="24"/>
        </w:rPr>
        <w:t>土木水利硕士专业学位研究生</w:t>
      </w:r>
      <w:r>
        <w:rPr>
          <w:rFonts w:hint="eastAsia" w:ascii="Times New Roman" w:hAnsi="Times New Roman" w:eastAsia="宋体" w:cs="宋体"/>
          <w:sz w:val="24"/>
          <w:szCs w:val="24"/>
        </w:rPr>
        <w:t>按专业领域分班建制，以班级为单位组织教学。</w:t>
      </w:r>
      <w:r>
        <w:rPr>
          <w:spacing w:val="1"/>
          <w:sz w:val="24"/>
        </w:rPr>
        <w:t>采用</w:t>
      </w:r>
      <w:r>
        <w:rPr>
          <w:sz w:val="24"/>
        </w:rPr>
        <w:t>校内外双导师制，以校内导师指导为主，校外导师参与实践过程、项目研究、课程与论文等多个环节的指导工作</w:t>
      </w:r>
      <w:r>
        <w:rPr>
          <w:spacing w:val="1"/>
          <w:sz w:val="24"/>
        </w:rPr>
        <w:t>。各专业领域</w:t>
      </w:r>
      <w:r>
        <w:rPr>
          <w:sz w:val="24"/>
        </w:rPr>
        <w:t>应吸收本领域的专家、学者和工程技术人员组成团队，实现团队指导和培养，共同承担</w:t>
      </w:r>
      <w:r>
        <w:rPr>
          <w:bCs/>
          <w:spacing w:val="1"/>
          <w:sz w:val="24"/>
        </w:rPr>
        <w:t>专业学位硕士研究生</w:t>
      </w:r>
      <w:r>
        <w:rPr>
          <w:sz w:val="24"/>
        </w:rPr>
        <w:t>的培养工作。</w:t>
      </w:r>
    </w:p>
    <w:p>
      <w:pPr>
        <w:keepNext/>
        <w:keepLines/>
        <w:spacing w:before="156" w:beforeLines="50" w:after="156" w:afterLines="50" w:line="400" w:lineRule="exact"/>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八、其他</w:t>
      </w:r>
    </w:p>
    <w:p>
      <w:pPr>
        <w:spacing w:line="400" w:lineRule="exact"/>
        <w:ind w:firstLine="480" w:firstLineChars="200"/>
        <w:rPr>
          <w:sz w:val="24"/>
        </w:rPr>
      </w:pPr>
      <w:r>
        <w:rPr>
          <w:rFonts w:hint="eastAsia" w:ascii="Times New Roman" w:hAnsi="Times New Roman" w:eastAsia="宋体" w:cs="Times New Roman"/>
          <w:bCs/>
          <w:sz w:val="24"/>
          <w:szCs w:val="24"/>
        </w:rPr>
        <w:t>（一）土木水利硕士专业学位研究生</w:t>
      </w:r>
      <w:r>
        <w:rPr>
          <w:rFonts w:hint="eastAsia"/>
          <w:sz w:val="24"/>
        </w:rPr>
        <w:t>开题前须修满学位课程的学分，允许研究生开题后根据论文研究需要选修部分其他课。</w:t>
      </w:r>
    </w:p>
    <w:p>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（二）土木水利硕士专业学位研究生应查阅本学科国内外文献40篇以上，其中外文文献不少于三分之一。</w:t>
      </w:r>
    </w:p>
    <w:p>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（三）土木水利硕士专业学位研究生在课程学习阶段每月至少1次、论文工作阶段每月至少2次向指导教师汇报自己的学习和研究工作情况，并形成制度。</w:t>
      </w:r>
    </w:p>
    <w:p>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（四）全日制、非全日制硕士研究生适用同一培养方案。</w:t>
      </w:r>
    </w:p>
    <w:p>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（五）本次制订培养方案从202</w:t>
      </w:r>
      <w:r>
        <w:rPr>
          <w:rFonts w:hint="eastAsia" w:ascii="Times New Roman" w:hAnsi="Times New Roman" w:eastAsia="宋体" w:cs="Times New Roman"/>
          <w:bCs/>
          <w:sz w:val="24"/>
          <w:szCs w:val="24"/>
          <w:lang w:val="en-US" w:eastAsia="zh-CN"/>
        </w:rPr>
        <w:t>4</w:t>
      </w:r>
      <w:r>
        <w:rPr>
          <w:rFonts w:hint="eastAsia" w:ascii="Times New Roman" w:hAnsi="Times New Roman" w:eastAsia="宋体" w:cs="Times New Roman"/>
          <w:bCs/>
          <w:sz w:val="24"/>
          <w:szCs w:val="24"/>
        </w:rPr>
        <w:t>级土木水利硕士专业学位研究生开始执行。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YjQ0YTY0MmUyOWUxZmUyMGU0YTQ5NzU4NGZjY2MifQ=="/>
  </w:docVars>
  <w:rsids>
    <w:rsidRoot w:val="00172A27"/>
    <w:rsid w:val="00172A27"/>
    <w:rsid w:val="00201C1F"/>
    <w:rsid w:val="00306B11"/>
    <w:rsid w:val="00320DB3"/>
    <w:rsid w:val="0048059A"/>
    <w:rsid w:val="00707F31"/>
    <w:rsid w:val="0078640C"/>
    <w:rsid w:val="00A150C3"/>
    <w:rsid w:val="00D50139"/>
    <w:rsid w:val="00EA4317"/>
    <w:rsid w:val="00ED0C12"/>
    <w:rsid w:val="00FF6B79"/>
    <w:rsid w:val="010351AA"/>
    <w:rsid w:val="0195644C"/>
    <w:rsid w:val="022D740A"/>
    <w:rsid w:val="04D86EE1"/>
    <w:rsid w:val="15DC0F25"/>
    <w:rsid w:val="1FB33873"/>
    <w:rsid w:val="24702917"/>
    <w:rsid w:val="2690292D"/>
    <w:rsid w:val="2EA8671D"/>
    <w:rsid w:val="3A03591C"/>
    <w:rsid w:val="3BDD507D"/>
    <w:rsid w:val="3E891493"/>
    <w:rsid w:val="47730D59"/>
    <w:rsid w:val="47EB177A"/>
    <w:rsid w:val="4C6D5C2A"/>
    <w:rsid w:val="4CB15FE4"/>
    <w:rsid w:val="4FAB3A1C"/>
    <w:rsid w:val="51533610"/>
    <w:rsid w:val="51F82ACF"/>
    <w:rsid w:val="577D0987"/>
    <w:rsid w:val="5DCB7F50"/>
    <w:rsid w:val="62353C0D"/>
    <w:rsid w:val="66991C59"/>
    <w:rsid w:val="68D7488D"/>
    <w:rsid w:val="69C97A5C"/>
    <w:rsid w:val="6E277617"/>
    <w:rsid w:val="6EFC534E"/>
    <w:rsid w:val="6F5043FF"/>
    <w:rsid w:val="7D86298E"/>
    <w:rsid w:val="7FDC6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50" w:beforeLines="50" w:after="50" w:afterLines="50"/>
      <w:outlineLvl w:val="2"/>
    </w:pPr>
    <w:rPr>
      <w:rFonts w:ascii="Times New Roman" w:hAnsi="Times New Roman" w:eastAsia="宋体" w:cs="Times New Roman"/>
      <w:b/>
      <w:bCs/>
      <w:kern w:val="0"/>
      <w:sz w:val="24"/>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qFormat/>
    <w:uiPriority w:val="99"/>
    <w:rPr>
      <w:sz w:val="21"/>
      <w:szCs w:val="21"/>
    </w:rPr>
  </w:style>
  <w:style w:type="character" w:customStyle="1" w:styleId="10">
    <w:name w:val="页眉 字符"/>
    <w:basedOn w:val="8"/>
    <w:link w:val="5"/>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6967</Words>
  <Characters>8020</Characters>
  <Lines>65</Lines>
  <Paragraphs>18</Paragraphs>
  <TotalTime>0</TotalTime>
  <ScaleCrop>false</ScaleCrop>
  <LinksUpToDate>false</LinksUpToDate>
  <CharactersWithSpaces>8025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2023-06-14T02:39:00Z</dcterms:created>
  <dc:creator>admin</dc:creator>
  <cp:lastModifiedBy>WPS_1717527986</cp:lastModifiedBy>
  <dcterms:modified xsi:type="dcterms:W3CDTF">2024-07-10T08:45:39Z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287B040A50E84D3C9E0AB45FC7A2B344_12</vt:lpwstr>
  </property>
</Properties>
</file>