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5023DE">
      <w:pPr>
        <w:jc w:val="center"/>
        <w:rPr>
          <w:rFonts w:ascii="Times New Roman" w:hAnsi="Times New Roman" w:eastAsia="方正姚体"/>
          <w:b/>
          <w:color w:val="FF0000"/>
          <w:kern w:val="68"/>
          <w:sz w:val="44"/>
          <w:szCs w:val="44"/>
        </w:rPr>
      </w:pPr>
      <w:r>
        <w:rPr>
          <w:rFonts w:hint="eastAsia" w:ascii="Times New Roman" w:hAnsi="Times New Roman" w:eastAsia="方正姚体"/>
          <w:b/>
          <w:color w:val="FF0000"/>
          <w:kern w:val="68"/>
          <w:sz w:val="44"/>
          <w:szCs w:val="44"/>
        </w:rPr>
        <w:t>武汉理工大学土木工程与建筑学院文件</w:t>
      </w:r>
    </w:p>
    <w:p w14:paraId="4D7CF961">
      <w:pPr>
        <w:spacing w:line="360" w:lineRule="auto"/>
        <w:jc w:val="center"/>
        <w:rPr>
          <w:rFonts w:hint="default" w:ascii="Times New Roman" w:hAnsi="Times New Roman" w:eastAsia="等线"/>
          <w:b/>
          <w:color w:val="FF0000"/>
          <w:sz w:val="28"/>
          <w:szCs w:val="28"/>
          <w:lang w:val="en-US" w:eastAsia="zh-CN"/>
        </w:rPr>
      </w:pPr>
      <w:r>
        <w:rPr>
          <w:rFonts w:ascii="TTD024A4BEtCID" w:hAnsi="TTD024A4BEtCID"/>
          <w:b/>
          <w:bCs/>
          <w:color w:val="FF0000"/>
          <w:sz w:val="28"/>
          <w:szCs w:val="28"/>
        </w:rPr>
        <w:t>院研〔</w:t>
      </w:r>
      <w:r>
        <w:rPr>
          <w:rFonts w:ascii="Times New Roman" w:hAnsi="Times New Roman"/>
          <w:b/>
          <w:bCs/>
          <w:color w:val="FF0000"/>
          <w:sz w:val="28"/>
          <w:szCs w:val="28"/>
        </w:rPr>
        <w:t>2024</w:t>
      </w:r>
      <w:r>
        <w:rPr>
          <w:rFonts w:ascii="TTD024A4BEtCID" w:hAnsi="TTD024A4BEtCID"/>
          <w:b/>
          <w:bCs/>
          <w:color w:val="FF0000"/>
          <w:sz w:val="28"/>
          <w:szCs w:val="28"/>
        </w:rPr>
        <w:t>〕</w:t>
      </w:r>
      <w:r>
        <w:rPr>
          <w:rFonts w:ascii="Times New Roman" w:hAnsi="Times New Roman"/>
          <w:b/>
          <w:bCs/>
          <w:color w:val="FF0000"/>
          <w:sz w:val="28"/>
          <w:szCs w:val="28"/>
        </w:rPr>
        <w:t>4</w:t>
      </w:r>
      <w:r>
        <w:rPr>
          <w:rFonts w:hint="eastAsia" w:ascii="TTD024A4BEtCID" w:hAnsi="TTD024A4BEtCID"/>
          <w:b/>
          <w:bCs/>
          <w:color w:val="FF0000"/>
          <w:sz w:val="28"/>
          <w:szCs w:val="28"/>
          <w:lang w:val="en-US" w:eastAsia="zh-CN"/>
        </w:rPr>
        <w:t>号</w:t>
      </w:r>
    </w:p>
    <w:p w14:paraId="4E77D049">
      <w:pPr>
        <w:spacing w:line="360" w:lineRule="exact"/>
        <w:ind w:firstLine="480" w:firstLineChars="200"/>
        <w:rPr>
          <w:rFonts w:ascii="Times New Roman" w:hAnsi="Times New Roman"/>
          <w:b/>
          <w:bCs/>
          <w:sz w:val="24"/>
        </w:rPr>
      </w:pPr>
    </w:p>
    <w:p w14:paraId="69194DD4">
      <w:pPr>
        <w:keepNext/>
        <w:jc w:val="center"/>
        <w:rPr>
          <w:rFonts w:ascii="Times New Roman" w:hAnsi="Times New Roman" w:eastAsia="黑体"/>
          <w:b/>
          <w:sz w:val="32"/>
          <w:szCs w:val="40"/>
        </w:rPr>
      </w:pPr>
      <w:r>
        <w:rPr>
          <w:rFonts w:hint="eastAsia" w:ascii="Times New Roman" w:hAnsi="Times New Roman" w:eastAsia="黑体"/>
          <w:b/>
          <w:sz w:val="32"/>
          <w:szCs w:val="40"/>
        </w:rPr>
        <w:t>关于开展中期考核和开题报告工作的通知</w:t>
      </w:r>
    </w:p>
    <w:p w14:paraId="4B0928C3">
      <w:pPr>
        <w:keepNext/>
        <w:jc w:val="center"/>
        <w:rPr>
          <w:rFonts w:hint="eastAsia" w:ascii="Times New Roman" w:hAnsi="Times New Roman" w:eastAsia="黑体"/>
          <w:b/>
          <w:sz w:val="32"/>
          <w:szCs w:val="40"/>
        </w:rPr>
      </w:pPr>
    </w:p>
    <w:p w14:paraId="0FA2A718">
      <w:pPr>
        <w:spacing w:line="600" w:lineRule="exact"/>
        <w:ind w:firstLine="640"/>
        <w:rPr>
          <w:rFonts w:ascii="仿宋" w:hAnsi="仿宋" w:eastAsia="仿宋" w:cs="仿宋"/>
          <w:sz w:val="28"/>
          <w:szCs w:val="28"/>
        </w:rPr>
      </w:pPr>
      <w:r>
        <w:rPr>
          <w:rFonts w:ascii="Times New Roman" w:hAnsi="Times New Roman"/>
          <w:lang w:val="en-US" w:eastAsia="zh-CN"/>
        </w:rPr>
        <mc:AlternateContent>
          <mc:Choice Requires="wps">
            <w:drawing>
              <wp:anchor distT="0" distB="0" distL="114300" distR="114300" simplePos="0" relativeHeight="251659264" behindDoc="0" locked="0" layoutInCell="1" allowOverlap="1">
                <wp:simplePos x="0" y="0"/>
                <wp:positionH relativeFrom="column">
                  <wp:posOffset>-1526540</wp:posOffset>
                </wp:positionH>
                <wp:positionV relativeFrom="paragraph">
                  <wp:posOffset>802640</wp:posOffset>
                </wp:positionV>
                <wp:extent cx="8914130" cy="31750"/>
                <wp:effectExtent l="0" t="23495" r="1270" b="40005"/>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8914130" cy="31750"/>
                        </a:xfrm>
                        <a:prstGeom prst="line">
                          <a:avLst/>
                        </a:prstGeom>
                        <a:noFill/>
                        <a:ln w="47625">
                          <a:solidFill>
                            <a:srgbClr val="FF0000"/>
                          </a:solidFill>
                          <a:round/>
                        </a:ln>
                      </wps:spPr>
                      <wps:bodyPr/>
                    </wps:wsp>
                  </a:graphicData>
                </a:graphic>
              </wp:anchor>
            </w:drawing>
          </mc:Choice>
          <mc:Fallback>
            <w:pict>
              <v:line id="_x0000_s1026" o:spid="_x0000_s1026" o:spt="20" style="position:absolute;left:0pt;margin-left:-120.2pt;margin-top:63.2pt;height:2.5pt;width:701.9pt;z-index:251659264;mso-width-relative:page;mso-height-relative:page;" filled="f" stroked="t" coordsize="21600,21600" o:gfxdata="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FxyJbaAAAADQEAAA8AAAAAAAAAAQAgAAAAIgAAAGRycy9kb3ducmV2LnhtbFBLAQIUABQAAAAI&#10;AIdO4kB0SYNl6wEAAK8DAAAOAAAAAAAAAAEAIAAAACkBAABkcnMvZTJvRG9jLnhtbFBLBQYAAAAA&#10;BgAGAFkBAACGBQAAAAA=&#10;">
                <v:fill on="f" focussize="0,0"/>
                <v:stroke weight="3.75pt" color="#FF0000" joinstyle="round"/>
                <v:imagedata o:title=""/>
                <o:lock v:ext="edit" aspectratio="f"/>
              </v:line>
            </w:pict>
          </mc:Fallback>
        </mc:AlternateContent>
      </w:r>
      <w:r>
        <w:rPr>
          <w:rFonts w:hint="eastAsia" w:ascii="仿宋" w:hAnsi="仿宋" w:eastAsia="仿宋" w:cs="仿宋"/>
          <w:sz w:val="28"/>
          <w:szCs w:val="28"/>
        </w:rPr>
        <w:t>据《武汉理工大学研究生中期与开题管理办法》和《土木工程与建筑学院研究生学位论文开题报告管理办法》要求，研究生需要在导师指导下完成中期考核和开题报告，具体通知如下：</w:t>
      </w:r>
    </w:p>
    <w:p w14:paraId="6DF10E32">
      <w:pPr>
        <w:pStyle w:val="4"/>
        <w:widowControl/>
        <w:spacing w:before="8" w:beforeAutospacing="0" w:after="8" w:afterAutospacing="0" w:line="600" w:lineRule="exact"/>
        <w:ind w:firstLine="420"/>
        <w:jc w:val="both"/>
        <w:rPr>
          <w:rFonts w:ascii="黑体" w:hAnsi="黑体" w:eastAsia="黑体" w:cs="黑体"/>
          <w:kern w:val="2"/>
          <w:sz w:val="28"/>
          <w:szCs w:val="28"/>
        </w:rPr>
      </w:pPr>
      <w:r>
        <w:rPr>
          <w:rFonts w:hint="eastAsia" w:ascii="黑体" w:hAnsi="黑体" w:eastAsia="黑体" w:cs="黑体"/>
          <w:kern w:val="2"/>
          <w:sz w:val="28"/>
          <w:szCs w:val="28"/>
        </w:rPr>
        <w:t>一、对象</w:t>
      </w:r>
    </w:p>
    <w:p w14:paraId="53BA8322">
      <w:pPr>
        <w:pStyle w:val="4"/>
        <w:widowControl/>
        <w:spacing w:before="8" w:beforeAutospacing="0" w:after="8" w:afterAutospacing="0" w:line="600" w:lineRule="exact"/>
        <w:ind w:firstLine="420"/>
        <w:jc w:val="both"/>
        <w:rPr>
          <w:rFonts w:ascii="仿宋" w:hAnsi="仿宋" w:eastAsia="仿宋" w:cs="仿宋"/>
          <w:kern w:val="2"/>
          <w:sz w:val="28"/>
          <w:szCs w:val="28"/>
        </w:rPr>
      </w:pPr>
      <w:r>
        <w:rPr>
          <w:rFonts w:hint="eastAsia" w:ascii="仿宋" w:hAnsi="仿宋" w:eastAsia="仿宋" w:cs="仿宋"/>
          <w:kern w:val="2"/>
          <w:sz w:val="28"/>
          <w:szCs w:val="28"/>
        </w:rPr>
        <w:t>已完成学位论文选题前期工作的研究生，对象包括：2023级及以前年级的硕士研究生、博士研究生。</w:t>
      </w:r>
    </w:p>
    <w:p w14:paraId="354589A4">
      <w:pPr>
        <w:pStyle w:val="4"/>
        <w:widowControl/>
        <w:spacing w:before="8" w:beforeAutospacing="0" w:after="8" w:afterAutospacing="0" w:line="600" w:lineRule="exact"/>
        <w:ind w:firstLine="420"/>
        <w:jc w:val="both"/>
        <w:rPr>
          <w:rFonts w:ascii="黑体" w:hAnsi="黑体" w:eastAsia="黑体" w:cs="黑体"/>
          <w:kern w:val="2"/>
          <w:sz w:val="28"/>
          <w:szCs w:val="28"/>
        </w:rPr>
      </w:pPr>
      <w:r>
        <w:rPr>
          <w:rFonts w:hint="eastAsia" w:ascii="黑体" w:hAnsi="黑体" w:eastAsia="黑体" w:cs="黑体"/>
          <w:kern w:val="2"/>
          <w:sz w:val="28"/>
          <w:szCs w:val="28"/>
        </w:rPr>
        <w:t>二、时间</w:t>
      </w:r>
    </w:p>
    <w:p w14:paraId="47BE2DB2">
      <w:pPr>
        <w:pStyle w:val="4"/>
        <w:widowControl/>
        <w:spacing w:before="8" w:beforeAutospacing="0" w:after="8" w:afterAutospacing="0" w:line="600" w:lineRule="exact"/>
        <w:ind w:firstLine="420"/>
        <w:jc w:val="both"/>
        <w:rPr>
          <w:rFonts w:ascii="仿宋" w:hAnsi="仿宋" w:eastAsia="仿宋" w:cs="仿宋"/>
          <w:kern w:val="2"/>
          <w:sz w:val="28"/>
          <w:szCs w:val="28"/>
        </w:rPr>
      </w:pPr>
      <w:r>
        <w:rPr>
          <w:rFonts w:hint="eastAsia" w:ascii="仿宋" w:hAnsi="仿宋" w:eastAsia="仿宋" w:cs="仿宋"/>
          <w:kern w:val="2"/>
          <w:sz w:val="28"/>
          <w:szCs w:val="28"/>
        </w:rPr>
        <w:t>截止日期202</w:t>
      </w:r>
      <w:r>
        <w:rPr>
          <w:rFonts w:hint="eastAsia" w:ascii="仿宋" w:hAnsi="仿宋" w:eastAsia="仿宋" w:cs="仿宋"/>
          <w:kern w:val="2"/>
          <w:sz w:val="28"/>
          <w:szCs w:val="28"/>
          <w:lang w:val="en-US" w:eastAsia="zh-CN"/>
        </w:rPr>
        <w:t>5</w:t>
      </w:r>
      <w:bookmarkStart w:id="0" w:name="_GoBack"/>
      <w:bookmarkEnd w:id="0"/>
      <w:r>
        <w:rPr>
          <w:rFonts w:hint="eastAsia" w:ascii="仿宋" w:hAnsi="仿宋" w:eastAsia="仿宋" w:cs="仿宋"/>
          <w:kern w:val="2"/>
          <w:sz w:val="28"/>
          <w:szCs w:val="28"/>
        </w:rPr>
        <w:t>年1月10日。</w:t>
      </w:r>
    </w:p>
    <w:p w14:paraId="65EBECB0">
      <w:pPr>
        <w:pStyle w:val="4"/>
        <w:widowControl/>
        <w:spacing w:before="8" w:beforeAutospacing="0" w:after="8" w:afterAutospacing="0" w:line="600" w:lineRule="exact"/>
        <w:ind w:firstLine="420"/>
        <w:jc w:val="both"/>
        <w:rPr>
          <w:rFonts w:ascii="黑体" w:hAnsi="黑体" w:eastAsia="黑体" w:cs="黑体"/>
          <w:kern w:val="2"/>
          <w:sz w:val="28"/>
          <w:szCs w:val="28"/>
        </w:rPr>
      </w:pPr>
      <w:r>
        <w:rPr>
          <w:rFonts w:hint="eastAsia" w:ascii="黑体" w:hAnsi="黑体" w:eastAsia="黑体" w:cs="黑体"/>
          <w:kern w:val="2"/>
          <w:sz w:val="28"/>
          <w:szCs w:val="28"/>
        </w:rPr>
        <w:t>三、组织实施</w:t>
      </w:r>
    </w:p>
    <w:p w14:paraId="26E412C7">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1、中期考核与开题报告由导师自行组织实施中期考核和开题答辩，硕士研究生中期考核与开题小组由3-5人组成，成员应具有副高以上职称或研究生导师资格，中期考核与开题可同时进行，考核小组可由相同人员组成。</w:t>
      </w:r>
    </w:p>
    <w:p w14:paraId="16B112EB">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2、海南专项研究生中期考核和开题报告原则上由学院和三亚科教园统一在海南组织实施（不强制要求），如需在海南进行开题的学生由导师与学生沟通确定后，填写2023级海南专项土木水利开题信息登记表</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见附件）</w:t>
      </w:r>
      <w:r>
        <w:rPr>
          <w:rFonts w:hint="eastAsia" w:ascii="仿宋" w:hAnsi="仿宋" w:eastAsia="仿宋" w:cs="仿宋"/>
          <w:sz w:val="28"/>
          <w:szCs w:val="28"/>
        </w:rPr>
        <w:t>报研工办。</w:t>
      </w:r>
    </w:p>
    <w:p w14:paraId="222F84CF">
      <w:pPr>
        <w:pStyle w:val="4"/>
        <w:widowControl/>
        <w:spacing w:before="8" w:beforeAutospacing="0" w:after="8" w:afterAutospacing="0" w:line="600" w:lineRule="exact"/>
        <w:ind w:firstLine="420"/>
        <w:jc w:val="both"/>
        <w:rPr>
          <w:rFonts w:ascii="黑体" w:hAnsi="黑体" w:eastAsia="黑体" w:cs="黑体"/>
          <w:kern w:val="2"/>
          <w:sz w:val="28"/>
          <w:szCs w:val="28"/>
        </w:rPr>
      </w:pPr>
      <w:r>
        <w:rPr>
          <w:rFonts w:hint="eastAsia" w:ascii="黑体" w:hAnsi="黑体" w:eastAsia="黑体" w:cs="黑体"/>
          <w:kern w:val="2"/>
          <w:sz w:val="28"/>
          <w:szCs w:val="28"/>
        </w:rPr>
        <w:t>四、开题报告工作有关要求</w:t>
      </w:r>
    </w:p>
    <w:p w14:paraId="1406BEF6">
      <w:pPr>
        <w:pStyle w:val="11"/>
        <w:spacing w:line="600" w:lineRule="exact"/>
        <w:ind w:firstLine="560"/>
        <w:rPr>
          <w:rFonts w:ascii="仿宋" w:hAnsi="仿宋" w:eastAsia="仿宋" w:cs="仿宋"/>
          <w:sz w:val="28"/>
          <w:szCs w:val="28"/>
        </w:rPr>
      </w:pPr>
      <w:r>
        <w:rPr>
          <w:rFonts w:hint="eastAsia" w:ascii="仿宋" w:hAnsi="仿宋" w:eastAsia="仿宋" w:cs="仿宋"/>
          <w:sz w:val="28"/>
          <w:szCs w:val="28"/>
        </w:rPr>
        <w:t>1、硕士研究生：自开题通过之日起到申请学位论文答辩的时间间隔一般不得少于12个月。博士研究生：自开题通过之日起到申请学位论文答辩的时间间隔一般不得少于24个月。</w:t>
      </w:r>
    </w:p>
    <w:p w14:paraId="61D89AF6">
      <w:pPr>
        <w:spacing w:line="600" w:lineRule="exact"/>
        <w:ind w:firstLine="560" w:firstLineChars="200"/>
        <w:rPr>
          <w:rFonts w:ascii="仿宋" w:hAnsi="仿宋" w:eastAsia="仿宋" w:cs="仿宋_GB2312"/>
          <w:color w:val="000000"/>
          <w:sz w:val="28"/>
          <w:szCs w:val="28"/>
        </w:rPr>
      </w:pPr>
      <w:r>
        <w:rPr>
          <w:rFonts w:ascii="仿宋" w:hAnsi="仿宋" w:eastAsia="仿宋" w:cs="仿宋"/>
          <w:sz w:val="28"/>
          <w:szCs w:val="28"/>
        </w:rPr>
        <w:t>2</w:t>
      </w:r>
      <w:r>
        <w:rPr>
          <w:rFonts w:hint="eastAsia" w:ascii="仿宋" w:hAnsi="仿宋" w:eastAsia="仿宋" w:cs="仿宋"/>
          <w:sz w:val="28"/>
          <w:szCs w:val="28"/>
        </w:rPr>
        <w:t>．</w:t>
      </w:r>
      <w:r>
        <w:rPr>
          <w:rFonts w:ascii="仿宋" w:hAnsi="仿宋" w:eastAsia="仿宋" w:cs="仿宋_GB2312"/>
          <w:color w:val="000000"/>
          <w:sz w:val="28"/>
          <w:szCs w:val="28"/>
        </w:rPr>
        <w:t>202</w:t>
      </w:r>
      <w:r>
        <w:rPr>
          <w:rFonts w:hint="eastAsia" w:ascii="仿宋" w:hAnsi="仿宋" w:eastAsia="仿宋" w:cs="仿宋_GB2312"/>
          <w:color w:val="000000"/>
          <w:sz w:val="28"/>
          <w:szCs w:val="28"/>
        </w:rPr>
        <w:t>3</w:t>
      </w:r>
      <w:r>
        <w:rPr>
          <w:rFonts w:ascii="仿宋" w:hAnsi="仿宋" w:eastAsia="仿宋" w:cs="仿宋_GB2312"/>
          <w:color w:val="000000"/>
          <w:sz w:val="28"/>
          <w:szCs w:val="28"/>
        </w:rPr>
        <w:t xml:space="preserve"> 级以后专硕</w:t>
      </w:r>
      <w:r>
        <w:rPr>
          <w:rFonts w:hint="eastAsia" w:ascii="仿宋" w:hAnsi="仿宋" w:eastAsia="仿宋" w:cs="仿宋_GB2312"/>
          <w:color w:val="000000"/>
          <w:sz w:val="28"/>
          <w:szCs w:val="28"/>
        </w:rPr>
        <w:t>（含MEM）应尽可能</w:t>
      </w:r>
      <w:r>
        <w:rPr>
          <w:rFonts w:ascii="仿宋" w:hAnsi="仿宋" w:eastAsia="仿宋" w:cs="仿宋_GB2312"/>
          <w:color w:val="000000"/>
          <w:sz w:val="28"/>
          <w:szCs w:val="28"/>
        </w:rPr>
        <w:t>选择新形式学位论文进行开题</w:t>
      </w:r>
      <w:r>
        <w:rPr>
          <w:rFonts w:hint="eastAsia" w:ascii="仿宋" w:hAnsi="仿宋" w:eastAsia="仿宋" w:cs="仿宋_GB2312"/>
          <w:color w:val="000000"/>
          <w:sz w:val="28"/>
          <w:szCs w:val="28"/>
        </w:rPr>
        <w:t>，具体形式：调研报告、案例分析报告论文、产品设计（作品创作）、方案设计、专题研究类论文等五种形式。</w:t>
      </w:r>
    </w:p>
    <w:p w14:paraId="4DBDC707">
      <w:pPr>
        <w:spacing w:line="600" w:lineRule="exact"/>
        <w:ind w:firstLine="560" w:firstLineChars="200"/>
        <w:rPr>
          <w:rFonts w:ascii="仿宋" w:hAnsi="仿宋" w:eastAsia="仿宋" w:cs="仿宋"/>
          <w:sz w:val="28"/>
          <w:szCs w:val="28"/>
        </w:rPr>
      </w:pPr>
      <w:r>
        <w:rPr>
          <w:rFonts w:ascii="仿宋" w:hAnsi="仿宋" w:eastAsia="仿宋" w:cs="仿宋"/>
          <w:sz w:val="28"/>
          <w:szCs w:val="28"/>
        </w:rPr>
        <w:t>3</w:t>
      </w:r>
      <w:r>
        <w:rPr>
          <w:rFonts w:hint="eastAsia" w:ascii="仿宋" w:hAnsi="仿宋" w:eastAsia="仿宋" w:cs="仿宋"/>
          <w:sz w:val="28"/>
          <w:szCs w:val="28"/>
        </w:rPr>
        <w:t>.2023级（含）以后研究生学位课未通过及学位平均分低于75分的可以开题；</w:t>
      </w:r>
    </w:p>
    <w:p w14:paraId="04893475">
      <w:pPr>
        <w:spacing w:line="600" w:lineRule="exact"/>
        <w:ind w:firstLine="560" w:firstLineChars="200"/>
        <w:rPr>
          <w:rFonts w:ascii="仿宋" w:hAnsi="仿宋" w:eastAsia="仿宋" w:cs="仿宋"/>
          <w:sz w:val="28"/>
          <w:szCs w:val="28"/>
        </w:rPr>
      </w:pPr>
      <w:r>
        <w:rPr>
          <w:rFonts w:ascii="仿宋" w:hAnsi="仿宋" w:eastAsia="仿宋" w:cs="仿宋"/>
          <w:sz w:val="28"/>
          <w:szCs w:val="28"/>
        </w:rPr>
        <w:t>4</w:t>
      </w:r>
      <w:r>
        <w:rPr>
          <w:rFonts w:hint="eastAsia" w:ascii="仿宋" w:hAnsi="仿宋" w:eastAsia="仿宋" w:cs="仿宋"/>
          <w:sz w:val="28"/>
          <w:szCs w:val="28"/>
        </w:rPr>
        <w:t>.文献综述、选题报告内容要求见附件（学院和学校开题管理办法）；</w:t>
      </w:r>
    </w:p>
    <w:p w14:paraId="1EAE28F9">
      <w:pPr>
        <w:spacing w:line="600" w:lineRule="exact"/>
        <w:ind w:firstLine="560" w:firstLineChars="200"/>
        <w:rPr>
          <w:rFonts w:ascii="仿宋" w:hAnsi="仿宋" w:eastAsia="仿宋" w:cs="仿宋"/>
          <w:sz w:val="28"/>
          <w:szCs w:val="28"/>
        </w:rPr>
      </w:pPr>
      <w:r>
        <w:rPr>
          <w:rFonts w:ascii="仿宋" w:hAnsi="仿宋" w:eastAsia="仿宋" w:cs="仿宋"/>
          <w:sz w:val="28"/>
          <w:szCs w:val="28"/>
        </w:rPr>
        <w:t>5</w:t>
      </w:r>
      <w:r>
        <w:rPr>
          <w:rFonts w:hint="eastAsia" w:ascii="仿宋" w:hAnsi="仿宋" w:eastAsia="仿宋" w:cs="仿宋"/>
          <w:sz w:val="28"/>
          <w:szCs w:val="28"/>
        </w:rPr>
        <w:t>.开题报告会要求公开进行。在开题报告会前三天，提交《土建学院研究生学位论文开题报告公告》电子版，由研工办在学院网站上发布；</w:t>
      </w:r>
    </w:p>
    <w:p w14:paraId="1A66A257">
      <w:pPr>
        <w:spacing w:line="600" w:lineRule="exact"/>
        <w:ind w:firstLine="560" w:firstLineChars="200"/>
        <w:rPr>
          <w:rFonts w:ascii="仿宋" w:hAnsi="仿宋" w:eastAsia="仿宋" w:cs="仿宋"/>
          <w:sz w:val="28"/>
          <w:szCs w:val="28"/>
        </w:rPr>
      </w:pPr>
      <w:r>
        <w:rPr>
          <w:rFonts w:ascii="仿宋" w:hAnsi="仿宋" w:eastAsia="仿宋" w:cs="仿宋"/>
          <w:sz w:val="28"/>
          <w:szCs w:val="28"/>
        </w:rPr>
        <w:t>6</w:t>
      </w:r>
      <w:r>
        <w:rPr>
          <w:rFonts w:hint="eastAsia" w:ascii="仿宋" w:hAnsi="仿宋" w:eastAsia="仿宋" w:cs="仿宋"/>
          <w:sz w:val="28"/>
          <w:szCs w:val="28"/>
        </w:rPr>
        <w:t>.开题报告通过后，原则上不得随意更改常住论文题目。因特殊情况，学位论文题目如需要做较大的更改且涉及研究方向或主要研究内容的改变时，填写《土建学院研究生学位论文题目变更申请表》。经导师同意，所在学院主管领导审批后，报研究生院备案，并按开题报告程序重新开题。</w:t>
      </w:r>
    </w:p>
    <w:p w14:paraId="6E6E9AD3">
      <w:pPr>
        <w:spacing w:line="600" w:lineRule="exact"/>
        <w:ind w:firstLine="560" w:firstLineChars="200"/>
        <w:rPr>
          <w:rFonts w:ascii="仿宋" w:hAnsi="仿宋" w:eastAsia="仿宋" w:cs="仿宋"/>
          <w:sz w:val="28"/>
          <w:szCs w:val="28"/>
        </w:rPr>
      </w:pPr>
      <w:r>
        <w:rPr>
          <w:rFonts w:ascii="仿宋" w:hAnsi="仿宋" w:eastAsia="仿宋" w:cs="仿宋"/>
          <w:sz w:val="28"/>
          <w:szCs w:val="28"/>
        </w:rPr>
        <w:t>7</w:t>
      </w:r>
      <w:r>
        <w:rPr>
          <w:rFonts w:hint="eastAsia" w:ascii="仿宋" w:hAnsi="仿宋" w:eastAsia="仿宋" w:cs="仿宋"/>
          <w:sz w:val="28"/>
          <w:szCs w:val="28"/>
        </w:rPr>
        <w:t>.研究生必须在规定期限内完成开题报告，因特殊原因不能按时开题者，需由导师出具书面说明，并承诺开题时间。</w:t>
      </w:r>
    </w:p>
    <w:p w14:paraId="24368BD6">
      <w:pPr>
        <w:pStyle w:val="4"/>
        <w:widowControl/>
        <w:spacing w:before="8" w:beforeAutospacing="0" w:after="8" w:afterAutospacing="0" w:line="368" w:lineRule="atLeast"/>
        <w:ind w:firstLine="560" w:firstLineChars="200"/>
        <w:jc w:val="both"/>
        <w:rPr>
          <w:rFonts w:ascii="仿宋" w:hAnsi="仿宋" w:eastAsia="仿宋" w:cs="仿宋"/>
          <w:color w:val="000000"/>
          <w:sz w:val="28"/>
          <w:szCs w:val="28"/>
        </w:rPr>
      </w:pPr>
      <w:r>
        <w:rPr>
          <w:rFonts w:ascii="仿宋" w:hAnsi="仿宋" w:eastAsia="仿宋" w:cs="仿宋"/>
          <w:kern w:val="2"/>
          <w:sz w:val="28"/>
          <w:szCs w:val="28"/>
        </w:rPr>
        <w:t>8</w:t>
      </w:r>
      <w:r>
        <w:rPr>
          <w:rFonts w:hint="eastAsia" w:ascii="仿宋" w:hAnsi="仿宋" w:eastAsia="仿宋" w:cs="仿宋"/>
          <w:kern w:val="2"/>
          <w:sz w:val="28"/>
          <w:szCs w:val="28"/>
        </w:rPr>
        <w:t>.研究生院要求开题报告日期以上传系统日期起算，请同学们按要求完成开题答辩后，</w:t>
      </w:r>
      <w:r>
        <w:rPr>
          <w:rFonts w:hint="eastAsia" w:ascii="仿宋" w:hAnsi="仿宋" w:eastAsia="仿宋" w:cs="仿宋"/>
          <w:color w:val="000000"/>
          <w:sz w:val="28"/>
          <w:szCs w:val="28"/>
        </w:rPr>
        <w:t>自己跟踪进度，并</w:t>
      </w:r>
      <w:r>
        <w:rPr>
          <w:rFonts w:hint="eastAsia" w:ascii="仿宋" w:hAnsi="仿宋" w:eastAsia="仿宋" w:cs="仿宋"/>
          <w:kern w:val="2"/>
          <w:sz w:val="28"/>
          <w:szCs w:val="28"/>
        </w:rPr>
        <w:t>提醒答辩秘书在系统中完成中期考核与开题答辩组设置及填写答辩意见，</w:t>
      </w:r>
      <w:r>
        <w:rPr>
          <w:rFonts w:hint="eastAsia" w:ascii="仿宋" w:hAnsi="仿宋" w:eastAsia="仿宋" w:cs="仿宋"/>
          <w:color w:val="000000"/>
          <w:sz w:val="28"/>
          <w:szCs w:val="28"/>
        </w:rPr>
        <w:t>务必在开题答辩后一周内完成。</w:t>
      </w:r>
    </w:p>
    <w:p w14:paraId="5B9F5BE5">
      <w:pPr>
        <w:pStyle w:val="4"/>
        <w:widowControl/>
        <w:spacing w:before="8" w:beforeAutospacing="0" w:after="8" w:afterAutospacing="0" w:line="368" w:lineRule="atLeast"/>
        <w:ind w:firstLine="420"/>
        <w:jc w:val="both"/>
        <w:rPr>
          <w:rFonts w:ascii="黑体" w:hAnsi="黑体" w:eastAsia="黑体" w:cs="黑体"/>
          <w:b/>
          <w:sz w:val="28"/>
          <w:szCs w:val="28"/>
        </w:rPr>
      </w:pPr>
      <w:r>
        <w:rPr>
          <w:rStyle w:val="7"/>
          <w:rFonts w:hint="eastAsia" w:ascii="黑体" w:hAnsi="黑体" w:eastAsia="黑体" w:cs="黑体"/>
          <w:b w:val="0"/>
          <w:color w:val="000000"/>
          <w:sz w:val="28"/>
          <w:szCs w:val="28"/>
          <w:shd w:val="clear" w:color="auto" w:fill="FFFFFF"/>
        </w:rPr>
        <w:t>五、系统提交中期考核及开题报告电子版（签字盖章版）</w:t>
      </w:r>
    </w:p>
    <w:p w14:paraId="0B954127">
      <w:pPr>
        <w:pStyle w:val="4"/>
        <w:widowControl/>
        <w:spacing w:before="8" w:beforeAutospacing="0" w:after="8" w:afterAutospacing="0" w:line="368" w:lineRule="atLeast"/>
        <w:ind w:firstLine="420"/>
        <w:jc w:val="both"/>
        <w:rPr>
          <w:rFonts w:ascii="仿宋" w:hAnsi="仿宋" w:eastAsia="仿宋" w:cs="仿宋"/>
          <w:kern w:val="2"/>
          <w:sz w:val="28"/>
          <w:szCs w:val="28"/>
        </w:rPr>
      </w:pPr>
      <w:r>
        <w:rPr>
          <w:rFonts w:hint="eastAsia" w:ascii="仿宋" w:hAnsi="仿宋" w:eastAsia="仿宋" w:cs="仿宋"/>
          <w:color w:val="000000"/>
          <w:sz w:val="28"/>
          <w:szCs w:val="28"/>
          <w:shd w:val="clear" w:color="auto" w:fill="FFFFFF"/>
        </w:rPr>
        <w:t>研究生完成中期考核及开题答辩后，登录研究生管理信息系统填写中期考核和开题报告内容，</w:t>
      </w:r>
      <w:r>
        <w:rPr>
          <w:rFonts w:hint="eastAsia" w:ascii="仿宋" w:hAnsi="仿宋" w:eastAsia="仿宋" w:cs="仿宋"/>
          <w:kern w:val="2"/>
          <w:sz w:val="28"/>
          <w:szCs w:val="28"/>
        </w:rPr>
        <w:t>并及时完成开题报告及中期考核的签字盖章，</w:t>
      </w:r>
      <w:r>
        <w:rPr>
          <w:rFonts w:hint="eastAsia" w:ascii="仿宋" w:hAnsi="仿宋" w:eastAsia="仿宋" w:cs="仿宋"/>
          <w:color w:val="000000"/>
          <w:sz w:val="28"/>
          <w:szCs w:val="28"/>
          <w:shd w:val="clear" w:color="auto" w:fill="FFFFFF"/>
        </w:rPr>
        <w:t>上传开题报告（签字盖章版）电子档（PDF文件）和中期考核综合评定表（签字盖章版）电子档（PDF文件），具体操作流程见附件2：《研究生信息系统操作说明（中期考核和开题报告）</w:t>
      </w:r>
      <w:r>
        <w:rPr>
          <w:rFonts w:hint="eastAsia" w:ascii="仿宋" w:hAnsi="仿宋" w:eastAsia="仿宋" w:cs="仿宋"/>
          <w:color w:val="000000"/>
          <w:sz w:val="28"/>
          <w:szCs w:val="28"/>
        </w:rPr>
        <w:t>》。请学生自己跟踪进度，并提醒答辩秘书和导师系统审核，务必在开题答辩后一周内完成。</w:t>
      </w:r>
      <w:r>
        <w:rPr>
          <w:rFonts w:hint="eastAsia" w:ascii="仿宋" w:hAnsi="仿宋" w:eastAsia="仿宋" w:cs="仿宋"/>
          <w:kern w:val="2"/>
          <w:sz w:val="28"/>
          <w:szCs w:val="28"/>
        </w:rPr>
        <w:t>纸质版开题报告时间与系统录入的开题时间保持一致，并注意开题通过之日起到申请学位论文答辩的时间间隔要符合要求，否则会影响后期学位论文答辩申请。</w:t>
      </w:r>
    </w:p>
    <w:p w14:paraId="77F12A4A">
      <w:pPr>
        <w:pStyle w:val="4"/>
        <w:widowControl/>
        <w:spacing w:before="8" w:beforeAutospacing="0" w:after="8" w:afterAutospacing="0" w:line="368" w:lineRule="atLeast"/>
        <w:ind w:firstLine="420"/>
        <w:jc w:val="both"/>
        <w:rPr>
          <w:rFonts w:ascii="黑体" w:hAnsi="黑体" w:eastAsia="黑体" w:cs="黑体"/>
          <w:b/>
          <w:sz w:val="28"/>
          <w:szCs w:val="28"/>
        </w:rPr>
      </w:pPr>
      <w:r>
        <w:rPr>
          <w:rStyle w:val="7"/>
          <w:rFonts w:hint="eastAsia" w:ascii="黑体" w:hAnsi="黑体" w:eastAsia="黑体" w:cs="黑体"/>
          <w:b w:val="0"/>
          <w:color w:val="000000"/>
          <w:sz w:val="28"/>
          <w:szCs w:val="28"/>
          <w:shd w:val="clear" w:color="auto" w:fill="FFFFFF"/>
        </w:rPr>
        <w:t>六、纸质版材料提交</w:t>
      </w:r>
    </w:p>
    <w:p w14:paraId="79F050C4">
      <w:pPr>
        <w:pStyle w:val="4"/>
        <w:widowControl/>
        <w:spacing w:before="8" w:beforeAutospacing="0" w:after="8" w:afterAutospacing="0" w:line="368" w:lineRule="atLeast"/>
        <w:ind w:firstLine="420"/>
        <w:jc w:val="both"/>
        <w:rPr>
          <w:rFonts w:ascii="仿宋" w:hAnsi="仿宋" w:eastAsia="仿宋" w:cs="仿宋"/>
          <w:sz w:val="28"/>
          <w:szCs w:val="28"/>
        </w:rPr>
      </w:pPr>
      <w:r>
        <w:rPr>
          <w:rFonts w:hint="eastAsia" w:ascii="仿宋" w:hAnsi="仿宋" w:eastAsia="仿宋" w:cs="仿宋"/>
          <w:color w:val="000000"/>
          <w:sz w:val="28"/>
          <w:szCs w:val="28"/>
          <w:shd w:val="clear" w:color="auto" w:fill="FFFFFF"/>
        </w:rPr>
        <w:t>要求：硕士研究生参考附件4和附件5中期考核及开题模板。博士研究生参考附件4和附件6中期考核及开题模板。</w:t>
      </w:r>
    </w:p>
    <w:p w14:paraId="13576106">
      <w:pPr>
        <w:pStyle w:val="4"/>
        <w:widowControl/>
        <w:spacing w:before="8" w:beforeAutospacing="0" w:after="8" w:afterAutospacing="0" w:line="368" w:lineRule="atLeast"/>
        <w:ind w:firstLine="420"/>
        <w:jc w:val="both"/>
        <w:rPr>
          <w:rFonts w:ascii="仿宋" w:hAnsi="仿宋" w:eastAsia="仿宋" w:cs="仿宋"/>
          <w:sz w:val="28"/>
          <w:szCs w:val="28"/>
        </w:rPr>
      </w:pPr>
      <w:r>
        <w:rPr>
          <w:rStyle w:val="7"/>
          <w:rFonts w:hint="eastAsia" w:ascii="仿宋" w:hAnsi="仿宋" w:eastAsia="仿宋" w:cs="仿宋"/>
          <w:b w:val="0"/>
          <w:color w:val="000000"/>
          <w:sz w:val="28"/>
          <w:szCs w:val="28"/>
          <w:shd w:val="clear" w:color="auto" w:fill="FFFFFF"/>
        </w:rPr>
        <w:t>时间：</w:t>
      </w:r>
      <w:r>
        <w:rPr>
          <w:rStyle w:val="7"/>
          <w:rFonts w:hint="eastAsia" w:ascii="仿宋" w:hAnsi="仿宋" w:eastAsia="仿宋" w:cs="仿宋"/>
          <w:bCs/>
          <w:color w:val="000000"/>
          <w:sz w:val="28"/>
          <w:szCs w:val="28"/>
          <w:shd w:val="clear" w:color="auto" w:fill="FFFFFF"/>
        </w:rPr>
        <w:t>纸质材料集中提交研工办时间2025年3月24日-3月28日</w:t>
      </w:r>
    </w:p>
    <w:p w14:paraId="1A31D35C">
      <w:pPr>
        <w:pStyle w:val="4"/>
        <w:widowControl/>
        <w:spacing w:before="8" w:beforeAutospacing="0" w:after="8" w:afterAutospacing="0" w:line="368" w:lineRule="atLeast"/>
        <w:ind w:firstLine="420"/>
        <w:jc w:val="both"/>
        <w:rPr>
          <w:rFonts w:ascii="仿宋" w:hAnsi="仿宋" w:eastAsia="仿宋" w:cs="仿宋"/>
          <w:sz w:val="28"/>
          <w:szCs w:val="28"/>
        </w:rPr>
      </w:pPr>
      <w:r>
        <w:rPr>
          <w:rFonts w:hint="eastAsia" w:ascii="仿宋" w:hAnsi="仿宋" w:eastAsia="仿宋" w:cs="仿宋"/>
          <w:color w:val="000000"/>
          <w:sz w:val="28"/>
          <w:szCs w:val="28"/>
          <w:shd w:val="clear" w:color="auto" w:fill="FFFFFF"/>
        </w:rPr>
        <w:t>提交方式：以班级为单位，中期和开题后纸质材料由各班长汇总</w:t>
      </w:r>
      <w:r>
        <w:rPr>
          <w:rFonts w:hint="eastAsia" w:ascii="仿宋" w:hAnsi="仿宋" w:eastAsia="仿宋" w:cs="仿宋"/>
          <w:sz w:val="28"/>
          <w:szCs w:val="28"/>
          <w:shd w:val="clear" w:color="auto" w:fill="FFFFFF"/>
        </w:rPr>
        <w:t>收齐汇总，且填写附件1《中期考核及开题报告成绩统计表》</w:t>
      </w:r>
      <w:r>
        <w:fldChar w:fldCharType="begin"/>
      </w:r>
      <w:r>
        <w:instrText xml:space="preserve"> HYPERLINK "mailto:%E7%94%B5%E5%AD%90%E7%89%88%E5%8F%91%E9%80%81%E8%87%B3%E7%A0%94%E5%B7%A5%E5%8A%9E%E9%82%AE%E7%AE%B1whutjjxyygb@163.com" </w:instrText>
      </w:r>
      <w:r>
        <w:fldChar w:fldCharType="separate"/>
      </w:r>
      <w:r>
        <w:rPr>
          <w:rStyle w:val="8"/>
          <w:rFonts w:hint="eastAsia" w:ascii="仿宋" w:hAnsi="仿宋" w:eastAsia="仿宋" w:cs="仿宋"/>
          <w:color w:val="auto"/>
          <w:sz w:val="28"/>
          <w:szCs w:val="28"/>
          <w:shd w:val="clear" w:color="auto" w:fill="FFFFFF"/>
        </w:rPr>
        <w:t>电子版发送至研工办邮箱tjxyygb@163.com</w:t>
      </w:r>
      <w:r>
        <w:rPr>
          <w:rStyle w:val="8"/>
          <w:rFonts w:hint="eastAsia" w:ascii="仿宋" w:hAnsi="仿宋" w:eastAsia="仿宋" w:cs="仿宋"/>
          <w:color w:val="auto"/>
          <w:sz w:val="28"/>
          <w:szCs w:val="28"/>
          <w:shd w:val="clear" w:color="auto" w:fill="FFFFFF"/>
        </w:rPr>
        <w:fldChar w:fldCharType="end"/>
      </w:r>
      <w:r>
        <w:rPr>
          <w:rFonts w:hint="eastAsia" w:ascii="仿宋" w:hAnsi="仿宋" w:eastAsia="仿宋" w:cs="仿宋"/>
          <w:sz w:val="28"/>
          <w:szCs w:val="28"/>
          <w:shd w:val="clear" w:color="auto" w:fill="FFFFFF"/>
        </w:rPr>
        <w:t>（务必提交</w:t>
      </w:r>
      <w:r>
        <w:rPr>
          <w:rFonts w:hint="eastAsia" w:ascii="仿宋" w:hAnsi="仿宋" w:eastAsia="仿宋" w:cs="仿宋"/>
          <w:color w:val="000000"/>
          <w:sz w:val="28"/>
          <w:szCs w:val="28"/>
          <w:shd w:val="clear" w:color="auto" w:fill="FFFFFF"/>
        </w:rPr>
        <w:t>，统一录分），打印此表协同开题报告及中期考核纸质版以班级为单位提交到研工办东教211室。</w:t>
      </w:r>
    </w:p>
    <w:p w14:paraId="04864266">
      <w:pPr>
        <w:pStyle w:val="4"/>
        <w:widowControl/>
        <w:spacing w:before="8" w:beforeAutospacing="0" w:after="8" w:afterAutospacing="0" w:line="368" w:lineRule="atLeast"/>
        <w:ind w:firstLine="420"/>
        <w:jc w:val="both"/>
        <w:rPr>
          <w:rFonts w:ascii="仿宋" w:hAnsi="仿宋" w:eastAsia="仿宋" w:cs="仿宋"/>
          <w:sz w:val="28"/>
          <w:szCs w:val="28"/>
        </w:rPr>
      </w:pPr>
      <w:r>
        <w:rPr>
          <w:rStyle w:val="7"/>
          <w:rFonts w:hint="eastAsia" w:ascii="仿宋" w:hAnsi="仿宋" w:eastAsia="仿宋" w:cs="仿宋"/>
          <w:bCs/>
          <w:sz w:val="28"/>
          <w:szCs w:val="28"/>
          <w:shd w:val="clear" w:color="auto" w:fill="FFFFFF"/>
        </w:rPr>
        <w:t>特别提示：</w:t>
      </w:r>
    </w:p>
    <w:p w14:paraId="2DADEB98">
      <w:pPr>
        <w:pStyle w:val="4"/>
        <w:widowControl/>
        <w:spacing w:before="8" w:beforeAutospacing="0" w:after="8" w:afterAutospacing="0" w:line="368" w:lineRule="atLeast"/>
        <w:ind w:firstLine="420"/>
        <w:jc w:val="both"/>
        <w:rPr>
          <w:rFonts w:ascii="仿宋" w:hAnsi="仿宋" w:eastAsia="仿宋" w:cs="仿宋"/>
          <w:b/>
          <w:sz w:val="28"/>
          <w:szCs w:val="28"/>
        </w:rPr>
      </w:pPr>
      <w:r>
        <w:rPr>
          <w:rStyle w:val="7"/>
          <w:rFonts w:hint="eastAsia" w:ascii="仿宋" w:hAnsi="仿宋" w:eastAsia="仿宋" w:cs="仿宋"/>
          <w:b w:val="0"/>
          <w:sz w:val="28"/>
          <w:szCs w:val="28"/>
          <w:shd w:val="clear" w:color="auto" w:fill="FFFFFF"/>
        </w:rPr>
        <w:t>1、请符合条件的研究生积极准备开题，务必按时提交材料，避免由于开题时间与申请答辩时间间隔不满足论文答辩管理规定要求，导致延期毕业。</w:t>
      </w:r>
    </w:p>
    <w:p w14:paraId="0433E3F7">
      <w:pPr>
        <w:pStyle w:val="4"/>
        <w:widowControl/>
        <w:spacing w:before="8" w:beforeAutospacing="0" w:after="8" w:afterAutospacing="0" w:line="368" w:lineRule="atLeast"/>
        <w:ind w:firstLine="420"/>
        <w:jc w:val="both"/>
        <w:rPr>
          <w:rFonts w:ascii="仿宋" w:hAnsi="仿宋" w:eastAsia="仿宋" w:cs="仿宋"/>
          <w:b/>
          <w:sz w:val="28"/>
          <w:szCs w:val="28"/>
        </w:rPr>
      </w:pPr>
      <w:r>
        <w:rPr>
          <w:rStyle w:val="7"/>
          <w:rFonts w:hint="eastAsia" w:ascii="仿宋" w:hAnsi="仿宋" w:eastAsia="仿宋" w:cs="仿宋"/>
          <w:b w:val="0"/>
          <w:sz w:val="28"/>
          <w:szCs w:val="28"/>
          <w:shd w:val="clear" w:color="auto" w:fill="FFFFFF"/>
        </w:rPr>
        <w:t>2、中期考核时间在开题时间之前或同时，不可迟于开题时间。</w:t>
      </w:r>
    </w:p>
    <w:p w14:paraId="55BD219E">
      <w:pPr>
        <w:pStyle w:val="4"/>
        <w:widowControl/>
        <w:spacing w:before="8" w:beforeAutospacing="0" w:after="8" w:afterAutospacing="0" w:line="368" w:lineRule="atLeast"/>
        <w:ind w:firstLine="420"/>
        <w:jc w:val="both"/>
        <w:rPr>
          <w:rFonts w:ascii="仿宋" w:hAnsi="仿宋" w:eastAsia="仿宋" w:cs="仿宋"/>
          <w:b/>
          <w:sz w:val="28"/>
          <w:szCs w:val="28"/>
        </w:rPr>
      </w:pPr>
      <w:r>
        <w:rPr>
          <w:rStyle w:val="7"/>
          <w:rFonts w:hint="eastAsia" w:ascii="仿宋" w:hAnsi="仿宋" w:eastAsia="仿宋" w:cs="仿宋"/>
          <w:b w:val="0"/>
          <w:sz w:val="28"/>
          <w:szCs w:val="28"/>
          <w:shd w:val="clear" w:color="auto" w:fill="FFFFFF"/>
        </w:rPr>
        <w:t>3、为避免后期提交的纸质材料被退回，请务必注意：报告纸质材</w:t>
      </w:r>
      <w:r>
        <w:rPr>
          <w:rStyle w:val="7"/>
          <w:rFonts w:hint="eastAsia" w:ascii="仿宋" w:hAnsi="仿宋" w:eastAsia="仿宋" w:cs="仿宋"/>
          <w:b w:val="0"/>
          <w:sz w:val="28"/>
          <w:szCs w:val="28"/>
        </w:rPr>
        <w:t>料上传系统时需扫描签字盖章版，报告中有签字的部分全部手签，开题报告最后一页评委打分模块全部手签打分（秘书不打分），考核成绩平均分必须填写。请各学生完</w:t>
      </w:r>
      <w:r>
        <w:rPr>
          <w:rStyle w:val="7"/>
          <w:rFonts w:hint="eastAsia" w:ascii="仿宋" w:hAnsi="仿宋" w:eastAsia="仿宋" w:cs="仿宋"/>
          <w:b w:val="0"/>
          <w:sz w:val="28"/>
          <w:szCs w:val="28"/>
          <w:shd w:val="clear" w:color="auto" w:fill="FFFFFF"/>
        </w:rPr>
        <w:t>成报告后务必自查三遍。</w:t>
      </w:r>
    </w:p>
    <w:p w14:paraId="53BF8EA7">
      <w:pPr>
        <w:pStyle w:val="4"/>
        <w:widowControl/>
        <w:spacing w:before="8" w:beforeAutospacing="0" w:after="8" w:afterAutospacing="0" w:line="368" w:lineRule="atLeast"/>
        <w:ind w:firstLine="420"/>
        <w:jc w:val="both"/>
        <w:rPr>
          <w:rFonts w:ascii="仿宋" w:hAnsi="仿宋" w:eastAsia="仿宋" w:cs="仿宋"/>
          <w:b/>
          <w:sz w:val="28"/>
          <w:szCs w:val="28"/>
        </w:rPr>
      </w:pPr>
      <w:r>
        <w:rPr>
          <w:rStyle w:val="7"/>
          <w:rFonts w:hint="eastAsia" w:ascii="仿宋" w:hAnsi="仿宋" w:eastAsia="仿宋" w:cs="仿宋"/>
          <w:b w:val="0"/>
          <w:sz w:val="28"/>
          <w:szCs w:val="28"/>
          <w:shd w:val="clear" w:color="auto" w:fill="FFFFFF"/>
        </w:rPr>
        <w:t>4、学院研工办集中受理研究生开题报告纸质材料。请研究生以班级为单位统一提交，不受理个人提交。</w:t>
      </w:r>
    </w:p>
    <w:p w14:paraId="76D077DA">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附件1：校研字〔2019〕105号 关于印发《武汉理工大学研究生中期考核与开题管理办法》的通知</w:t>
      </w:r>
    </w:p>
    <w:p w14:paraId="6A6CC6E1">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附件2：研究生信息系统操作说明（中期考核和开题报告）</w:t>
      </w:r>
    </w:p>
    <w:p w14:paraId="5C2FC894">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附件3：中期考核及开题报告成绩统计表-XX班</w:t>
      </w:r>
    </w:p>
    <w:p w14:paraId="1CA5F312">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附件4：2023级海南专项土木水利开题信息登记表</w:t>
      </w:r>
    </w:p>
    <w:p w14:paraId="4E16392D">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附件5：专业学位研究生新形式学位论文（印刷）参考格式</w:t>
      </w:r>
    </w:p>
    <w:p w14:paraId="39F96A1B">
      <w:pPr>
        <w:spacing w:line="60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6</w:t>
      </w:r>
      <w:r>
        <w:rPr>
          <w:rFonts w:hint="eastAsia" w:ascii="仿宋" w:hAnsi="仿宋" w:eastAsia="仿宋" w:cs="仿宋"/>
          <w:sz w:val="28"/>
          <w:szCs w:val="28"/>
        </w:rPr>
        <w:t>：中期及开题报告模板</w:t>
      </w:r>
    </w:p>
    <w:p w14:paraId="3692E892">
      <w:pPr>
        <w:spacing w:line="600" w:lineRule="exact"/>
        <w:ind w:firstLine="560" w:firstLineChars="200"/>
        <w:rPr>
          <w:rFonts w:ascii="仿宋" w:hAnsi="仿宋" w:eastAsia="仿宋" w:cs="仿宋"/>
          <w:sz w:val="28"/>
          <w:szCs w:val="28"/>
        </w:rPr>
      </w:pPr>
    </w:p>
    <w:p w14:paraId="3CF104FA">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土木工程与建筑学院研工办</w:t>
      </w:r>
    </w:p>
    <w:p w14:paraId="6CF3CA87">
      <w:pPr>
        <w:spacing w:line="60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                                2024年11月5日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姚体">
    <w:panose1 w:val="02010601030101010101"/>
    <w:charset w:val="86"/>
    <w:family w:val="auto"/>
    <w:pitch w:val="default"/>
    <w:sig w:usb0="00000003" w:usb1="080E0000" w:usb2="00000000" w:usb3="00000000" w:csb0="00040000" w:csb1="00000000"/>
  </w:font>
  <w:font w:name="TTD024A4BEtCID">
    <w:altName w:val="Segoe Print"/>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kxYjQ0YTY0MmUyOWUxZmUyMGU0YTQ5NzU4NGZjY2MifQ=="/>
  </w:docVars>
  <w:rsids>
    <w:rsidRoot w:val="00AC1F54"/>
    <w:rsid w:val="006256CF"/>
    <w:rsid w:val="006B68EF"/>
    <w:rsid w:val="00AC1F54"/>
    <w:rsid w:val="00B57E55"/>
    <w:rsid w:val="00E162B1"/>
    <w:rsid w:val="00F60D8B"/>
    <w:rsid w:val="094E37F6"/>
    <w:rsid w:val="0BF37694"/>
    <w:rsid w:val="0FB17362"/>
    <w:rsid w:val="4910441D"/>
    <w:rsid w:val="4FF0236A"/>
    <w:rsid w:val="6FB36A3E"/>
    <w:rsid w:val="7A4E7D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asciiTheme="minorHAnsi" w:hAnsiTheme="minorHAnsi" w:eastAsiaTheme="minorEastAsia"/>
      <w:kern w:val="0"/>
      <w:sz w:val="24"/>
      <w:szCs w:val="24"/>
    </w:rPr>
  </w:style>
  <w:style w:type="character" w:styleId="7">
    <w:name w:val="Strong"/>
    <w:basedOn w:val="6"/>
    <w:qFormat/>
    <w:uiPriority w:val="0"/>
    <w:rPr>
      <w:b/>
    </w:rPr>
  </w:style>
  <w:style w:type="character" w:styleId="8">
    <w:name w:val="Hyperlink"/>
    <w:basedOn w:val="6"/>
    <w:qFormat/>
    <w:uiPriority w:val="0"/>
    <w:rPr>
      <w:color w:val="0000FF"/>
      <w:u w:val="single"/>
    </w:rPr>
  </w:style>
  <w:style w:type="character" w:customStyle="1" w:styleId="9">
    <w:name w:val="页眉 字符"/>
    <w:basedOn w:val="6"/>
    <w:link w:val="3"/>
    <w:qFormat/>
    <w:uiPriority w:val="99"/>
    <w:rPr>
      <w:sz w:val="18"/>
      <w:szCs w:val="18"/>
    </w:rPr>
  </w:style>
  <w:style w:type="character" w:customStyle="1" w:styleId="10">
    <w:name w:val="页脚 字符"/>
    <w:basedOn w:val="6"/>
    <w:link w:val="2"/>
    <w:qFormat/>
    <w:uiPriority w:val="99"/>
    <w:rPr>
      <w:sz w:val="18"/>
      <w:szCs w:val="18"/>
    </w:rPr>
  </w:style>
  <w:style w:type="paragraph" w:styleId="11">
    <w:name w:val="List Paragraph"/>
    <w:basedOn w:val="1"/>
    <w:qFormat/>
    <w:uiPriority w:val="99"/>
    <w:pPr>
      <w:ind w:firstLine="420" w:firstLineChars="200"/>
    </w:pPr>
    <w:rPr>
      <w:rFonts w:asciiTheme="minorHAnsi" w:hAnsiTheme="minorHAnsi" w:eastAsiaTheme="minorEastAsia" w:cstheme="minorBidi"/>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1850</Words>
  <Characters>1923</Characters>
  <Lines>14</Lines>
  <Paragraphs>3</Paragraphs>
  <TotalTime>24</TotalTime>
  <ScaleCrop>false</ScaleCrop>
  <LinksUpToDate>false</LinksUpToDate>
  <CharactersWithSpaces>1986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2024-11-05T01:10:00Z</dcterms:created>
  <dc:creator>admin</dc:creator>
  <cp:lastModifiedBy>WPS_1717527986</cp:lastModifiedBy>
  <dcterms:modified xsi:type="dcterms:W3CDTF">2024-11-05T03:40:13Z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CCDB915A78524D91B6250E6BA99634E0_12</vt:lpwstr>
  </property>
</Properties>
</file>